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6A6333" w:rsidP="006A63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II.</w:t>
      </w:r>
    </w:p>
    <w:p w:rsidR="00087744" w:rsidRPr="00F35104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val="cs-CZ"/>
        </w:rPr>
      </w:pPr>
      <w:r w:rsidRPr="00F35104">
        <w:rPr>
          <w:rFonts w:ascii="Arial" w:hAnsi="Arial" w:cs="Arial"/>
          <w:bCs/>
          <w:lang w:val="cs-CZ"/>
        </w:rPr>
        <w:t>Návrh</w:t>
      </w:r>
    </w:p>
    <w:p w:rsidR="00087744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  <w:r w:rsidRPr="00082545">
        <w:rPr>
          <w:rFonts w:ascii="Arial" w:hAnsi="Arial" w:cs="Arial"/>
          <w:b/>
          <w:bCs/>
          <w:lang w:val="cs-CZ"/>
        </w:rPr>
        <w:t>VYHLÁŠKA</w:t>
      </w:r>
    </w:p>
    <w:p w:rsidR="00346DEC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>ze dne …201</w:t>
      </w:r>
      <w:r w:rsidR="007062AD">
        <w:rPr>
          <w:rFonts w:ascii="Arial" w:hAnsi="Arial" w:cs="Arial"/>
          <w:lang w:val="cs-CZ"/>
        </w:rPr>
        <w:t>9</w:t>
      </w:r>
      <w:r w:rsidRPr="00082545">
        <w:rPr>
          <w:rFonts w:ascii="Arial" w:hAnsi="Arial" w:cs="Arial"/>
          <w:lang w:val="cs-CZ"/>
        </w:rPr>
        <w:t xml:space="preserve">, </w:t>
      </w:r>
    </w:p>
    <w:p w:rsidR="00087744" w:rsidRPr="00082545" w:rsidP="00087744">
      <w:pPr>
        <w:jc w:val="center"/>
        <w:rPr>
          <w:rFonts w:ascii="Arial" w:hAnsi="Arial" w:cs="Arial"/>
          <w:b/>
          <w:lang w:val="cs-CZ"/>
        </w:rPr>
      </w:pPr>
    </w:p>
    <w:p w:rsidR="00087744" w:rsidRPr="00082545" w:rsidP="00087744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kterou se stanoví</w:t>
      </w:r>
      <w:r w:rsidRPr="00082545">
        <w:rPr>
          <w:rFonts w:ascii="Arial" w:hAnsi="Arial" w:cs="Arial"/>
          <w:b/>
          <w:lang w:val="cs-CZ"/>
        </w:rPr>
        <w:t xml:space="preserve"> kritéria, při jejichž splnění je znovuzískaná asfaltová směs vedlejším produktem nebo přestává být odpadem, a kritéria, při jejichž splnění asfaltová směs</w:t>
      </w:r>
      <w:r w:rsidRPr="00B15DAA">
        <w:rPr>
          <w:rFonts w:ascii="Arial" w:hAnsi="Arial" w:cs="Arial"/>
          <w:b/>
          <w:lang w:val="cs-CZ"/>
        </w:rPr>
        <w:t xml:space="preserve"> vyrobená z odpadní znovuzískané asfaltové směsi </w:t>
      </w:r>
      <w:r w:rsidRPr="00082545">
        <w:rPr>
          <w:rFonts w:ascii="Arial" w:hAnsi="Arial" w:cs="Arial"/>
          <w:b/>
          <w:lang w:val="cs-CZ"/>
        </w:rPr>
        <w:t>přestává být odpadem</w:t>
      </w:r>
    </w:p>
    <w:p w:rsidR="00087744" w:rsidRPr="00082545" w:rsidP="00087744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ab/>
        <w:t>Ministerstvo životního prostředí ve spolup</w:t>
      </w:r>
      <w:r>
        <w:rPr>
          <w:rFonts w:ascii="Arial" w:hAnsi="Arial" w:cs="Arial"/>
          <w:lang w:val="cs-CZ"/>
        </w:rPr>
        <w:t>ráci s Ministerstvem průmyslu a </w:t>
      </w:r>
      <w:r w:rsidRPr="00082545">
        <w:rPr>
          <w:rFonts w:ascii="Arial" w:hAnsi="Arial" w:cs="Arial"/>
          <w:lang w:val="cs-CZ"/>
        </w:rPr>
        <w:t xml:space="preserve">obchodu stanoví podle </w:t>
      </w:r>
      <w:r>
        <w:fldChar w:fldCharType="begin"/>
      </w:r>
      <w:r>
        <w:instrText xml:space="preserve"> HYPERLINK "aspi://module='ASPI'&amp;link='185/2001%20Sb.%25235'&amp;ucin-k-dni='30.12.9999'" </w:instrText>
      </w:r>
      <w:r>
        <w:fldChar w:fldCharType="separate"/>
      </w:r>
      <w:r w:rsidRPr="00082545">
        <w:rPr>
          <w:rFonts w:ascii="Arial" w:hAnsi="Arial" w:cs="Arial"/>
          <w:lang w:val="cs-CZ"/>
        </w:rPr>
        <w:t xml:space="preserve">§ 3 odst. </w:t>
      </w:r>
      <w:r>
        <w:fldChar w:fldCharType="end"/>
      </w:r>
      <w:r w:rsidRPr="00082545">
        <w:rPr>
          <w:rFonts w:ascii="Arial" w:hAnsi="Arial" w:cs="Arial"/>
          <w:lang w:val="cs-CZ"/>
        </w:rPr>
        <w:t xml:space="preserve">9 </w:t>
      </w:r>
      <w:r w:rsidRPr="00A31D58">
        <w:rPr>
          <w:rFonts w:ascii="Arial" w:hAnsi="Arial" w:cs="Arial"/>
          <w:lang w:val="cs-CZ"/>
        </w:rPr>
        <w:t xml:space="preserve">zákona o odpadech </w:t>
      </w:r>
      <w:r w:rsidRPr="00082545">
        <w:rPr>
          <w:rFonts w:ascii="Arial" w:hAnsi="Arial" w:cs="Arial"/>
          <w:lang w:val="cs-CZ"/>
        </w:rPr>
        <w:t>a o změně některých dalších zákonů, ve znění zákona č. 15</w:t>
      </w:r>
      <w:r w:rsidR="009F746A">
        <w:rPr>
          <w:rFonts w:ascii="Arial" w:hAnsi="Arial" w:cs="Arial"/>
          <w:lang w:val="cs-CZ"/>
        </w:rPr>
        <w:t xml:space="preserve">4/2010 Sb. a zákona č. 169/2013 Sb. </w:t>
      </w:r>
      <w:r>
        <w:rPr>
          <w:rFonts w:ascii="Arial" w:hAnsi="Arial" w:cs="Arial"/>
          <w:lang w:val="cs-CZ"/>
        </w:rPr>
        <w:t>(dále jen "zákon"):</w:t>
      </w:r>
    </w:p>
    <w:p w:rsidR="00087744" w:rsidRPr="00082545" w:rsidP="00087744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:rsidR="007062AD" w:rsidP="00087744">
      <w:pPr>
        <w:jc w:val="center"/>
        <w:rPr>
          <w:rFonts w:ascii="Arial" w:hAnsi="Arial" w:cs="Arial"/>
          <w:lang w:val="cs-CZ"/>
        </w:rPr>
      </w:pPr>
    </w:p>
    <w:p w:rsidR="00087744" w:rsidRPr="00082545" w:rsidP="00087744">
      <w:pPr>
        <w:jc w:val="center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>§ 1</w:t>
      </w:r>
    </w:p>
    <w:p w:rsidR="00087744" w:rsidRPr="00B15DAA" w:rsidP="00087744">
      <w:pPr>
        <w:jc w:val="center"/>
        <w:rPr>
          <w:rFonts w:ascii="Arial" w:hAnsi="Arial" w:cs="Arial"/>
          <w:i/>
          <w:lang w:val="cs-CZ"/>
        </w:rPr>
      </w:pPr>
    </w:p>
    <w:p w:rsidR="00087744" w:rsidRPr="00082545" w:rsidP="00087744">
      <w:pPr>
        <w:jc w:val="center"/>
        <w:rPr>
          <w:rFonts w:ascii="Arial" w:hAnsi="Arial" w:cs="Arial"/>
          <w:b/>
          <w:lang w:val="cs-CZ"/>
        </w:rPr>
      </w:pPr>
      <w:r w:rsidRPr="00082545">
        <w:rPr>
          <w:rFonts w:ascii="Arial" w:hAnsi="Arial" w:cs="Arial"/>
          <w:b/>
          <w:lang w:val="cs-CZ"/>
        </w:rPr>
        <w:t>Předmět úpravy</w:t>
      </w:r>
    </w:p>
    <w:p w:rsidR="00087744" w:rsidRPr="00082545" w:rsidP="00087744">
      <w:pPr>
        <w:jc w:val="both"/>
        <w:rPr>
          <w:rFonts w:ascii="Arial" w:hAnsi="Arial" w:cs="Arial"/>
          <w:b/>
          <w:lang w:val="cs-CZ"/>
        </w:rPr>
      </w:pPr>
    </w:p>
    <w:p w:rsidR="00087744" w:rsidRPr="00E331F0" w:rsidP="00087744">
      <w:pPr>
        <w:ind w:firstLine="708"/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>Tato vyhláška zapracovává příslušné předpisy Evropské unie</w:t>
      </w:r>
      <w:r>
        <w:rPr>
          <w:rStyle w:val="FootnoteReference"/>
          <w:rFonts w:ascii="Arial" w:hAnsi="Arial" w:cs="Arial"/>
          <w:lang w:val="cs-CZ"/>
        </w:rPr>
        <w:footnoteReference w:id="2"/>
      </w:r>
      <w:r w:rsidRPr="00E331F0">
        <w:rPr>
          <w:rFonts w:ascii="Arial" w:hAnsi="Arial" w:cs="Arial"/>
          <w:vertAlign w:val="superscript"/>
          <w:lang w:val="cs-CZ"/>
        </w:rPr>
        <w:t>)</w:t>
      </w:r>
      <w:r w:rsidRPr="00E331F0">
        <w:rPr>
          <w:rFonts w:ascii="Arial" w:hAnsi="Arial" w:cs="Arial"/>
          <w:lang w:val="cs-CZ"/>
        </w:rPr>
        <w:t xml:space="preserve"> a stanoví</w:t>
      </w:r>
    </w:p>
    <w:p w:rsidR="00087744" w:rsidRPr="00E331F0" w:rsidP="00087744">
      <w:pPr>
        <w:ind w:firstLine="708"/>
        <w:jc w:val="both"/>
        <w:rPr>
          <w:rFonts w:ascii="Arial" w:hAnsi="Arial" w:cs="Arial"/>
          <w:lang w:val="cs-CZ"/>
        </w:rPr>
      </w:pPr>
    </w:p>
    <w:p w:rsidR="00087744" w:rsidRPr="00D316B4" w:rsidP="00087744">
      <w:pPr>
        <w:spacing w:before="120"/>
        <w:jc w:val="both"/>
        <w:rPr>
          <w:rFonts w:ascii="Arial" w:hAnsi="Arial" w:cs="Arial"/>
          <w:u w:val="single"/>
          <w:lang w:val="cs-CZ"/>
        </w:rPr>
      </w:pPr>
      <w:r w:rsidRPr="00D316B4">
        <w:rPr>
          <w:rFonts w:ascii="Arial" w:hAnsi="Arial" w:cs="Arial"/>
          <w:u w:val="single"/>
          <w:lang w:val="cs-CZ"/>
        </w:rPr>
        <w:t>a) kritéria, při jejichž splnění je možné považovat znovuzískanou asfaltovou směs za vedlejší produkt a nikoliv odpad,</w:t>
      </w:r>
    </w:p>
    <w:p w:rsidR="00087744" w:rsidRPr="00A31D58" w:rsidP="00087744">
      <w:pPr>
        <w:spacing w:before="120"/>
        <w:jc w:val="both"/>
        <w:rPr>
          <w:rFonts w:ascii="Arial" w:hAnsi="Arial" w:cs="Arial"/>
          <w:u w:val="single"/>
          <w:lang w:val="cs-CZ"/>
        </w:rPr>
      </w:pPr>
      <w:r w:rsidRPr="00A31D58">
        <w:rPr>
          <w:rFonts w:ascii="Arial" w:hAnsi="Arial" w:cs="Arial"/>
          <w:u w:val="single"/>
          <w:lang w:val="cs-CZ"/>
        </w:rPr>
        <w:t>b) kritéria, při jejichž splnění přestává být znovuzískaná asfaltová směs odpadem,</w:t>
      </w:r>
    </w:p>
    <w:p w:rsidR="00087744" w:rsidRPr="00A31D58" w:rsidP="00087744">
      <w:pPr>
        <w:spacing w:before="120"/>
        <w:jc w:val="both"/>
        <w:rPr>
          <w:rFonts w:ascii="Arial" w:hAnsi="Arial" w:cs="Arial"/>
          <w:u w:val="single"/>
          <w:lang w:val="cs-CZ"/>
        </w:rPr>
      </w:pPr>
      <w:r w:rsidRPr="00A31D58">
        <w:rPr>
          <w:rFonts w:ascii="Arial" w:hAnsi="Arial" w:cs="Arial"/>
          <w:u w:val="single"/>
          <w:lang w:val="cs-CZ"/>
        </w:rPr>
        <w:t>c) kritéria, při jejichž splnění přestává být asfaltová směs vyrobená z odpadní znovuzískané asfaltové směsi odpadem.</w:t>
      </w:r>
    </w:p>
    <w:p w:rsidR="00087744" w:rsidP="00087744">
      <w:pPr>
        <w:jc w:val="both"/>
        <w:rPr>
          <w:rFonts w:ascii="Arial" w:hAnsi="Arial" w:cs="Arial"/>
          <w:lang w:val="cs-CZ"/>
        </w:rPr>
      </w:pPr>
    </w:p>
    <w:p w:rsidR="00754977" w:rsidRPr="00E331F0" w:rsidP="00087744">
      <w:pPr>
        <w:jc w:val="both"/>
        <w:rPr>
          <w:rFonts w:ascii="Arial" w:hAnsi="Arial" w:cs="Arial"/>
          <w:lang w:val="cs-CZ"/>
        </w:rPr>
      </w:pPr>
      <w:r w:rsidRPr="00754977">
        <w:rPr>
          <w:rFonts w:ascii="Arial" w:hAnsi="Arial" w:cs="Arial"/>
          <w:i/>
          <w:lang w:val="cs-CZ"/>
        </w:rPr>
        <w:t>CELEX 32008L0098</w:t>
      </w:r>
    </w:p>
    <w:p w:rsidR="007062AD" w:rsidRPr="00082545" w:rsidP="00087744">
      <w:pPr>
        <w:jc w:val="both"/>
        <w:rPr>
          <w:rFonts w:ascii="Arial" w:hAnsi="Arial" w:cs="Arial"/>
          <w:lang w:val="cs-CZ"/>
        </w:rPr>
      </w:pPr>
    </w:p>
    <w:p w:rsidR="00087744" w:rsidRPr="00082545" w:rsidP="00087744">
      <w:pPr>
        <w:jc w:val="center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>§ 2</w:t>
      </w:r>
    </w:p>
    <w:p w:rsidR="00087744" w:rsidRPr="00082545" w:rsidP="00087744">
      <w:pPr>
        <w:jc w:val="center"/>
        <w:rPr>
          <w:rFonts w:ascii="Arial" w:hAnsi="Arial" w:cs="Arial"/>
          <w:lang w:val="cs-CZ"/>
        </w:rPr>
      </w:pPr>
    </w:p>
    <w:p w:rsidR="00087744" w:rsidRPr="00082545" w:rsidP="00087744">
      <w:pPr>
        <w:jc w:val="center"/>
        <w:rPr>
          <w:rFonts w:ascii="Arial" w:hAnsi="Arial" w:cs="Arial"/>
          <w:b/>
          <w:lang w:val="cs-CZ"/>
        </w:rPr>
      </w:pPr>
      <w:r w:rsidRPr="00082545">
        <w:rPr>
          <w:rFonts w:ascii="Arial" w:hAnsi="Arial" w:cs="Arial"/>
          <w:b/>
          <w:lang w:val="cs-CZ"/>
        </w:rPr>
        <w:t>Definice</w:t>
      </w:r>
    </w:p>
    <w:p w:rsidR="00087744" w:rsidRPr="00082545" w:rsidP="00087744">
      <w:pPr>
        <w:jc w:val="both"/>
        <w:rPr>
          <w:rFonts w:ascii="Arial" w:hAnsi="Arial" w:cs="Arial"/>
          <w:b/>
          <w:lang w:val="cs-CZ"/>
        </w:rPr>
      </w:pPr>
    </w:p>
    <w:p w:rsidR="00087744" w:rsidRPr="00E331F0" w:rsidP="00087744">
      <w:pPr>
        <w:jc w:val="both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ab/>
      </w:r>
      <w:r w:rsidRPr="00E331F0">
        <w:rPr>
          <w:rFonts w:ascii="Arial" w:hAnsi="Arial" w:cs="Arial"/>
          <w:lang w:val="cs-CZ"/>
        </w:rPr>
        <w:t>Pr</w:t>
      </w:r>
      <w:r>
        <w:rPr>
          <w:rFonts w:ascii="Arial" w:hAnsi="Arial" w:cs="Arial"/>
          <w:lang w:val="cs-CZ"/>
        </w:rPr>
        <w:t>o účely této vyhlášky se rozumí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>a) asfaltovou směsí homogenní směs složená z přírodního nebo umělého kameniva, silničního nebo modifikovaného asfaltového pojiva a dalších přísad, které se používají k její výrobě,</w:t>
      </w:r>
    </w:p>
    <w:p w:rsidR="00087744" w:rsidRPr="00E331F0" w:rsidP="00087744">
      <w:pPr>
        <w:spacing w:before="120"/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 xml:space="preserve">b) znovuzískanou asfaltovou směsí asfaltová směs získaná z odfrézovaných </w:t>
      </w:r>
      <w:r w:rsidR="002E343D">
        <w:rPr>
          <w:rFonts w:ascii="Arial" w:hAnsi="Arial" w:cs="Arial"/>
          <w:lang w:val="cs-CZ"/>
        </w:rPr>
        <w:t>nebo</w:t>
      </w:r>
      <w:r w:rsidRPr="00E331F0">
        <w:rPr>
          <w:rFonts w:ascii="Arial" w:hAnsi="Arial" w:cs="Arial"/>
          <w:lang w:val="cs-CZ"/>
        </w:rPr>
        <w:t xml:space="preserve"> jiným způsobem vybouraných asfaltových vrstev pozemních komunikací, dopravních a jiných ploch.</w:t>
      </w:r>
    </w:p>
    <w:p w:rsidR="00087744" w:rsidP="00087744">
      <w:pPr>
        <w:spacing w:before="120"/>
        <w:jc w:val="both"/>
        <w:rPr>
          <w:rFonts w:ascii="Arial" w:hAnsi="Arial" w:cs="Arial"/>
          <w:lang w:val="cs-CZ"/>
        </w:rPr>
      </w:pPr>
    </w:p>
    <w:p w:rsidR="00244B55" w:rsidP="00244B55">
      <w:pPr>
        <w:rPr>
          <w:rFonts w:ascii="Arial" w:hAnsi="Arial" w:cs="Arial"/>
          <w:lang w:val="cs-CZ"/>
        </w:rPr>
      </w:pPr>
    </w:p>
    <w:p w:rsidR="00087744" w:rsidRPr="00082545" w:rsidP="00087744">
      <w:pPr>
        <w:jc w:val="center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>§ 3</w:t>
      </w:r>
    </w:p>
    <w:p w:rsidR="00087744" w:rsidRPr="00082545" w:rsidP="00087744">
      <w:pPr>
        <w:jc w:val="center"/>
        <w:rPr>
          <w:rFonts w:ascii="Arial" w:hAnsi="Arial" w:cs="Arial"/>
          <w:lang w:val="cs-CZ"/>
        </w:rPr>
      </w:pPr>
    </w:p>
    <w:p w:rsidR="00087744" w:rsidRPr="00082545" w:rsidP="00087744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K</w:t>
      </w:r>
      <w:r w:rsidR="001003F6">
        <w:rPr>
          <w:rFonts w:ascii="Arial" w:hAnsi="Arial" w:cs="Arial"/>
          <w:b/>
          <w:lang w:val="cs-CZ"/>
        </w:rPr>
        <w:t>ritéria pro z</w:t>
      </w:r>
      <w:r w:rsidRPr="00082545">
        <w:rPr>
          <w:rFonts w:ascii="Arial" w:hAnsi="Arial" w:cs="Arial"/>
          <w:b/>
          <w:lang w:val="cs-CZ"/>
        </w:rPr>
        <w:t>novuzískan</w:t>
      </w:r>
      <w:r w:rsidR="001003F6">
        <w:rPr>
          <w:rFonts w:ascii="Arial" w:hAnsi="Arial" w:cs="Arial"/>
          <w:b/>
          <w:lang w:val="cs-CZ"/>
        </w:rPr>
        <w:t>ou</w:t>
      </w:r>
      <w:r w:rsidRPr="00082545">
        <w:rPr>
          <w:rFonts w:ascii="Arial" w:hAnsi="Arial" w:cs="Arial"/>
          <w:b/>
          <w:lang w:val="cs-CZ"/>
        </w:rPr>
        <w:t xml:space="preserve"> asfaltov</w:t>
      </w:r>
      <w:r w:rsidR="001003F6">
        <w:rPr>
          <w:rFonts w:ascii="Arial" w:hAnsi="Arial" w:cs="Arial"/>
          <w:b/>
          <w:lang w:val="cs-CZ"/>
        </w:rPr>
        <w:t>ou</w:t>
      </w:r>
      <w:r w:rsidRPr="00082545">
        <w:rPr>
          <w:rFonts w:ascii="Arial" w:hAnsi="Arial" w:cs="Arial"/>
          <w:b/>
          <w:lang w:val="cs-CZ"/>
        </w:rPr>
        <w:t xml:space="preserve"> směs</w:t>
      </w:r>
    </w:p>
    <w:p w:rsidR="00087744" w:rsidP="00087744">
      <w:pPr>
        <w:jc w:val="both"/>
        <w:rPr>
          <w:rFonts w:ascii="Arial" w:hAnsi="Arial" w:cs="Arial"/>
          <w:lang w:val="cs-CZ"/>
        </w:rPr>
      </w:pPr>
    </w:p>
    <w:p w:rsidR="00276EED" w:rsidP="00754977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Pr="00754977">
        <w:rPr>
          <w:rFonts w:ascii="Arial" w:hAnsi="Arial" w:cs="Arial"/>
          <w:lang w:val="cs-CZ"/>
        </w:rPr>
        <w:t xml:space="preserve">(1) Znovuzískaná asfaltová směs jakostní třídy ZAS-T1, ZAS-T2, ZAS-T3 a ZAS-T4 je vedlejším produktem nebo přestává být odpadem, </w:t>
      </w:r>
      <w:r w:rsidR="00A46121">
        <w:rPr>
          <w:rFonts w:ascii="Arial" w:hAnsi="Arial" w:cs="Arial"/>
          <w:lang w:val="cs-CZ"/>
        </w:rPr>
        <w:t xml:space="preserve">pouze </w:t>
      </w:r>
      <w:r w:rsidRPr="00754977">
        <w:rPr>
          <w:rFonts w:ascii="Arial" w:hAnsi="Arial" w:cs="Arial"/>
          <w:lang w:val="cs-CZ"/>
        </w:rPr>
        <w:t>pokud splňuje</w:t>
      </w:r>
      <w:r>
        <w:rPr>
          <w:rFonts w:ascii="Arial" w:hAnsi="Arial" w:cs="Arial"/>
          <w:lang w:val="cs-CZ"/>
        </w:rPr>
        <w:t xml:space="preserve"> následující kritéria</w:t>
      </w:r>
    </w:p>
    <w:p w:rsidR="00276EED" w:rsidP="00754977">
      <w:pPr>
        <w:jc w:val="both"/>
        <w:rPr>
          <w:rFonts w:ascii="Arial" w:hAnsi="Arial" w:cs="Arial"/>
          <w:lang w:val="cs-CZ"/>
        </w:rPr>
      </w:pPr>
    </w:p>
    <w:p w:rsidR="00276EED" w:rsidP="00754977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a) není</w:t>
      </w:r>
      <w:r w:rsidRPr="00754977">
        <w:rPr>
          <w:rFonts w:ascii="Arial" w:hAnsi="Arial" w:cs="Arial"/>
          <w:lang w:val="cs-CZ"/>
        </w:rPr>
        <w:t xml:space="preserve"> znečištěna jinými látkami</w:t>
      </w:r>
      <w:r w:rsidR="00026932">
        <w:rPr>
          <w:rFonts w:ascii="Arial" w:hAnsi="Arial" w:cs="Arial"/>
          <w:lang w:val="cs-CZ"/>
        </w:rPr>
        <w:t xml:space="preserve"> než těmi</w:t>
      </w:r>
      <w:r w:rsidRPr="00754977">
        <w:rPr>
          <w:rFonts w:ascii="Arial" w:hAnsi="Arial" w:cs="Arial"/>
          <w:lang w:val="cs-CZ"/>
        </w:rPr>
        <w:t>, které se používají k její výrobě</w:t>
      </w:r>
      <w:r>
        <w:rPr>
          <w:rFonts w:ascii="Arial" w:hAnsi="Arial" w:cs="Arial"/>
          <w:lang w:val="cs-CZ"/>
        </w:rPr>
        <w:t>,</w:t>
      </w:r>
    </w:p>
    <w:p w:rsidR="00276EED" w:rsidP="00754977">
      <w:pPr>
        <w:jc w:val="both"/>
        <w:rPr>
          <w:rFonts w:ascii="Arial" w:hAnsi="Arial" w:cs="Arial"/>
          <w:lang w:val="cs-CZ"/>
        </w:rPr>
      </w:pPr>
    </w:p>
    <w:p w:rsidR="00276EED" w:rsidP="00754977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b) </w:t>
      </w:r>
      <w:r w:rsidR="00665B60">
        <w:rPr>
          <w:rFonts w:ascii="Arial" w:hAnsi="Arial" w:cs="Arial"/>
          <w:lang w:val="cs-CZ"/>
        </w:rPr>
        <w:t>použ</w:t>
      </w:r>
      <w:r w:rsidR="00EA4230">
        <w:rPr>
          <w:rFonts w:ascii="Arial" w:hAnsi="Arial" w:cs="Arial"/>
          <w:lang w:val="cs-CZ"/>
        </w:rPr>
        <w:t>ije se</w:t>
      </w:r>
      <w:r w:rsidR="00665B60">
        <w:rPr>
          <w:rFonts w:ascii="Arial" w:hAnsi="Arial" w:cs="Arial"/>
          <w:lang w:val="cs-CZ"/>
        </w:rPr>
        <w:t xml:space="preserve"> </w:t>
      </w:r>
      <w:r w:rsidR="00A46121">
        <w:rPr>
          <w:rFonts w:ascii="Arial" w:hAnsi="Arial" w:cs="Arial"/>
          <w:lang w:val="cs-CZ"/>
        </w:rPr>
        <w:t xml:space="preserve">výhradně </w:t>
      </w:r>
      <w:r w:rsidR="00665B60">
        <w:rPr>
          <w:rFonts w:ascii="Arial" w:hAnsi="Arial" w:cs="Arial"/>
          <w:lang w:val="cs-CZ"/>
        </w:rPr>
        <w:t xml:space="preserve">způsobem </w:t>
      </w:r>
      <w:r w:rsidR="00AF211F">
        <w:rPr>
          <w:rFonts w:ascii="Arial" w:hAnsi="Arial" w:cs="Arial"/>
          <w:lang w:val="cs-CZ"/>
        </w:rPr>
        <w:t xml:space="preserve">stanoveným </w:t>
      </w:r>
      <w:r w:rsidR="00EA4230">
        <w:rPr>
          <w:rFonts w:ascii="Arial" w:hAnsi="Arial" w:cs="Arial"/>
          <w:lang w:val="cs-CZ"/>
        </w:rPr>
        <w:t>pro příslušnou jakostní třídu v § 4, 5 nebo 6,</w:t>
      </w:r>
    </w:p>
    <w:p w:rsidR="00276EED" w:rsidP="00754977">
      <w:pPr>
        <w:jc w:val="both"/>
        <w:rPr>
          <w:rFonts w:ascii="Arial" w:hAnsi="Arial" w:cs="Arial"/>
          <w:lang w:val="cs-CZ"/>
        </w:rPr>
      </w:pPr>
    </w:p>
    <w:p w:rsidR="00276EED" w:rsidP="00754977">
      <w:pPr>
        <w:jc w:val="both"/>
        <w:rPr>
          <w:rFonts w:ascii="Arial" w:hAnsi="Arial" w:cs="Arial"/>
          <w:lang w:val="cs-CZ"/>
        </w:rPr>
      </w:pPr>
      <w:r w:rsidRPr="00A31D58">
        <w:rPr>
          <w:rFonts w:ascii="Arial" w:hAnsi="Arial" w:cs="Arial"/>
          <w:lang w:val="cs-CZ"/>
        </w:rPr>
        <w:t xml:space="preserve">c) </w:t>
      </w:r>
      <w:r w:rsidRPr="00A31D58" w:rsidR="00665B60">
        <w:rPr>
          <w:rFonts w:ascii="Arial" w:hAnsi="Arial" w:cs="Arial"/>
          <w:lang w:val="cs-CZ"/>
        </w:rPr>
        <w:t xml:space="preserve">pro konkrétní způsob použití </w:t>
      </w:r>
      <w:r w:rsidRPr="00A31D58">
        <w:rPr>
          <w:rFonts w:ascii="Arial" w:hAnsi="Arial" w:cs="Arial"/>
          <w:lang w:val="cs-CZ"/>
        </w:rPr>
        <w:t xml:space="preserve">celkové množství </w:t>
      </w:r>
      <w:r w:rsidRPr="00A31D58">
        <w:rPr>
          <w:rFonts w:ascii="Arial" w:hAnsi="Arial" w:cs="Arial"/>
          <w:lang w:val="cs-CZ"/>
        </w:rPr>
        <w:t>polyaromatických</w:t>
      </w:r>
      <w:r w:rsidRPr="00A31D58">
        <w:rPr>
          <w:rFonts w:ascii="Arial" w:hAnsi="Arial" w:cs="Arial"/>
          <w:lang w:val="cs-CZ"/>
        </w:rPr>
        <w:t xml:space="preserve"> uhlovodíků ve znovuzískané asfaltové směsi nepřesáhne celkové </w:t>
      </w:r>
      <w:r w:rsidRPr="00A31D58" w:rsidR="00E238DC">
        <w:rPr>
          <w:rFonts w:ascii="Arial" w:hAnsi="Arial" w:cs="Arial"/>
          <w:lang w:val="cs-CZ"/>
        </w:rPr>
        <w:t xml:space="preserve">množství stanovené </w:t>
      </w:r>
      <w:r w:rsidRPr="00A31D58" w:rsidR="00665B60">
        <w:rPr>
          <w:rFonts w:ascii="Arial" w:hAnsi="Arial" w:cs="Arial"/>
          <w:lang w:val="cs-CZ"/>
        </w:rPr>
        <w:t xml:space="preserve">pro </w:t>
      </w:r>
      <w:r w:rsidRPr="00A31D58" w:rsidR="00E238DC">
        <w:rPr>
          <w:rFonts w:ascii="Arial" w:hAnsi="Arial" w:cs="Arial"/>
          <w:lang w:val="cs-CZ"/>
        </w:rPr>
        <w:t xml:space="preserve">příslušnou jakostní třídu znovuzískané asfaltové směsi </w:t>
      </w:r>
      <w:r w:rsidRPr="00A31D58" w:rsidR="0030296C">
        <w:rPr>
          <w:rFonts w:ascii="Arial" w:hAnsi="Arial" w:cs="Arial"/>
          <w:lang w:val="cs-CZ"/>
        </w:rPr>
        <w:t>v</w:t>
      </w:r>
      <w:r w:rsidRPr="00A31D58" w:rsidR="0068688D">
        <w:rPr>
          <w:rFonts w:ascii="Arial" w:hAnsi="Arial" w:cs="Arial"/>
          <w:lang w:val="cs-CZ"/>
        </w:rPr>
        <w:t xml:space="preserve"> tabulce č. 1 v </w:t>
      </w:r>
      <w:r w:rsidRPr="00A31D58" w:rsidR="0030296C">
        <w:rPr>
          <w:rFonts w:ascii="Arial" w:hAnsi="Arial" w:cs="Arial"/>
          <w:lang w:val="cs-CZ"/>
        </w:rPr>
        <w:t>příloze</w:t>
      </w:r>
      <w:r w:rsidRPr="00A31D58" w:rsidR="00E238DC">
        <w:rPr>
          <w:rFonts w:ascii="Arial" w:hAnsi="Arial" w:cs="Arial"/>
          <w:lang w:val="cs-CZ"/>
        </w:rPr>
        <w:t xml:space="preserve"> č. 1</w:t>
      </w:r>
      <w:r w:rsidRPr="00A31D58" w:rsidR="00424A3B">
        <w:rPr>
          <w:rFonts w:ascii="Arial" w:hAnsi="Arial" w:cs="Arial"/>
          <w:lang w:val="cs-CZ"/>
        </w:rPr>
        <w:t xml:space="preserve"> k této vyhlášce</w:t>
      </w:r>
      <w:r w:rsidRPr="00A31D58" w:rsidR="00E238DC">
        <w:rPr>
          <w:rFonts w:ascii="Arial" w:hAnsi="Arial" w:cs="Arial"/>
          <w:lang w:val="cs-CZ"/>
        </w:rPr>
        <w:t>,</w:t>
      </w:r>
      <w:r>
        <w:rPr>
          <w:rFonts w:ascii="Arial" w:hAnsi="Arial" w:cs="Arial"/>
          <w:lang w:val="cs-CZ"/>
        </w:rPr>
        <w:t xml:space="preserve"> </w:t>
      </w:r>
    </w:p>
    <w:p w:rsidR="00E238DC" w:rsidP="00754977">
      <w:pPr>
        <w:jc w:val="both"/>
        <w:rPr>
          <w:rFonts w:ascii="Arial" w:hAnsi="Arial" w:cs="Arial"/>
          <w:lang w:val="cs-CZ"/>
        </w:rPr>
      </w:pPr>
    </w:p>
    <w:p w:rsidR="00087744" w:rsidP="00754977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</w:t>
      </w:r>
      <w:r w:rsidR="00276EED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 splnění požadavků na celkový obsah </w:t>
      </w:r>
      <w:r>
        <w:rPr>
          <w:rFonts w:ascii="Arial" w:hAnsi="Arial" w:cs="Arial"/>
          <w:lang w:val="cs-CZ"/>
        </w:rPr>
        <w:t>polyaromatických</w:t>
      </w:r>
      <w:r>
        <w:rPr>
          <w:rFonts w:ascii="Arial" w:hAnsi="Arial" w:cs="Arial"/>
          <w:lang w:val="cs-CZ"/>
        </w:rPr>
        <w:t xml:space="preserve"> uhlovodíků je </w:t>
      </w:r>
      <w:r w:rsidRPr="00754977">
        <w:rPr>
          <w:rFonts w:ascii="Arial" w:hAnsi="Arial" w:cs="Arial"/>
          <w:lang w:val="cs-CZ"/>
        </w:rPr>
        <w:t>pr</w:t>
      </w:r>
      <w:r>
        <w:rPr>
          <w:rFonts w:ascii="Arial" w:hAnsi="Arial" w:cs="Arial"/>
          <w:lang w:val="cs-CZ"/>
        </w:rPr>
        <w:t>okázáno vzorkováním a zkoušením, která byla provedena v souladu s</w:t>
      </w:r>
      <w:r w:rsidRPr="00E331F0">
        <w:rPr>
          <w:rFonts w:ascii="Arial" w:hAnsi="Arial" w:cs="Arial"/>
          <w:lang w:val="cs-CZ"/>
        </w:rPr>
        <w:t xml:space="preserve"> § 7 až 9</w:t>
      </w:r>
      <w:r>
        <w:rPr>
          <w:rFonts w:ascii="Arial" w:hAnsi="Arial" w:cs="Arial"/>
          <w:lang w:val="cs-CZ"/>
        </w:rPr>
        <w:t>, pokud tato vyhláška nestanoví jinak, a</w:t>
      </w:r>
    </w:p>
    <w:p w:rsidR="00087744" w:rsidP="00754977">
      <w:pPr>
        <w:jc w:val="both"/>
        <w:rPr>
          <w:rFonts w:ascii="Arial" w:hAnsi="Arial" w:cs="Arial"/>
          <w:lang w:val="cs-CZ"/>
        </w:rPr>
      </w:pPr>
    </w:p>
    <w:p w:rsidR="00754977" w:rsidRPr="00754977" w:rsidP="00754977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e)</w:t>
      </w:r>
      <w:r w:rsidRPr="0008774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znovuzískaná asfaltová směs je identifikována </w:t>
      </w:r>
      <w:r w:rsidRPr="00754977">
        <w:rPr>
          <w:rFonts w:ascii="Arial" w:hAnsi="Arial" w:cs="Arial"/>
          <w:lang w:val="cs-CZ"/>
        </w:rPr>
        <w:t xml:space="preserve">průvodní dokumentací </w:t>
      </w:r>
      <w:r w:rsidR="007B68B5">
        <w:rPr>
          <w:rFonts w:ascii="Arial" w:hAnsi="Arial" w:cs="Arial"/>
          <w:lang w:val="cs-CZ"/>
        </w:rPr>
        <w:t xml:space="preserve">zpracovanou </w:t>
      </w:r>
      <w:r>
        <w:rPr>
          <w:rFonts w:ascii="Arial" w:hAnsi="Arial" w:cs="Arial"/>
          <w:lang w:val="cs-CZ"/>
        </w:rPr>
        <w:t>podle § 10</w:t>
      </w:r>
      <w:r w:rsidR="007B68B5">
        <w:rPr>
          <w:rFonts w:ascii="Arial" w:hAnsi="Arial" w:cs="Arial"/>
          <w:lang w:val="cs-CZ"/>
        </w:rPr>
        <w:t>, kterou</w:t>
      </w:r>
      <w:r>
        <w:rPr>
          <w:rFonts w:ascii="Arial" w:hAnsi="Arial" w:cs="Arial"/>
          <w:lang w:val="cs-CZ"/>
        </w:rPr>
        <w:t xml:space="preserve"> držitel znovuzískané asfaltové směsi </w:t>
      </w:r>
      <w:r w:rsidR="00573C66">
        <w:rPr>
          <w:rFonts w:ascii="Arial" w:hAnsi="Arial" w:cs="Arial"/>
          <w:lang w:val="cs-CZ"/>
        </w:rPr>
        <w:t>na výzvu předkládá</w:t>
      </w:r>
      <w:r w:rsidR="007B68B5">
        <w:rPr>
          <w:rFonts w:ascii="Arial" w:hAnsi="Arial" w:cs="Arial"/>
          <w:lang w:val="cs-CZ"/>
        </w:rPr>
        <w:t xml:space="preserve"> kontrolnímu orgánu</w:t>
      </w:r>
      <w:r>
        <w:rPr>
          <w:rFonts w:ascii="Arial" w:hAnsi="Arial" w:cs="Arial"/>
          <w:lang w:val="cs-CZ"/>
        </w:rPr>
        <w:t>.</w:t>
      </w:r>
    </w:p>
    <w:p w:rsidR="00754977" w:rsidP="00754977">
      <w:pPr>
        <w:jc w:val="both"/>
        <w:rPr>
          <w:rFonts w:ascii="Arial" w:hAnsi="Arial" w:cs="Arial"/>
          <w:lang w:val="cs-CZ"/>
        </w:rPr>
      </w:pPr>
    </w:p>
    <w:p w:rsidR="00754977" w:rsidRPr="00754977" w:rsidP="00754977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Pr="00754977">
        <w:rPr>
          <w:rFonts w:ascii="Arial" w:hAnsi="Arial" w:cs="Arial"/>
          <w:lang w:val="cs-CZ"/>
        </w:rPr>
        <w:t>(2)</w:t>
      </w:r>
      <w:r>
        <w:rPr>
          <w:rFonts w:ascii="Arial" w:hAnsi="Arial" w:cs="Arial"/>
          <w:lang w:val="cs-CZ"/>
        </w:rPr>
        <w:t xml:space="preserve"> </w:t>
      </w:r>
      <w:r w:rsidRPr="00754977">
        <w:rPr>
          <w:rFonts w:ascii="Arial" w:hAnsi="Arial" w:cs="Arial"/>
          <w:lang w:val="cs-CZ"/>
        </w:rPr>
        <w:t xml:space="preserve">Celkové množství </w:t>
      </w:r>
      <w:r w:rsidRPr="00754977">
        <w:rPr>
          <w:rFonts w:ascii="Arial" w:hAnsi="Arial" w:cs="Arial"/>
          <w:lang w:val="cs-CZ"/>
        </w:rPr>
        <w:t>polyaromatických</w:t>
      </w:r>
      <w:r w:rsidRPr="00754977">
        <w:rPr>
          <w:rFonts w:ascii="Arial" w:hAnsi="Arial" w:cs="Arial"/>
          <w:lang w:val="cs-CZ"/>
        </w:rPr>
        <w:t xml:space="preserve"> uhlovodíků pro jakostní třídy znovuzískaných asfaltových směsí ZAS-T1, ZAS-T2, ZAS-T3 a ZAS-T4 stanoví </w:t>
      </w:r>
      <w:r w:rsidR="0068688D">
        <w:rPr>
          <w:rFonts w:ascii="Arial" w:hAnsi="Arial" w:cs="Arial"/>
          <w:lang w:val="cs-CZ"/>
        </w:rPr>
        <w:t xml:space="preserve">tabulka č. 1 v </w:t>
      </w:r>
      <w:r w:rsidRPr="00754977">
        <w:rPr>
          <w:rFonts w:ascii="Arial" w:hAnsi="Arial" w:cs="Arial"/>
          <w:lang w:val="cs-CZ"/>
        </w:rPr>
        <w:t>příl</w:t>
      </w:r>
      <w:r w:rsidR="0068688D">
        <w:rPr>
          <w:rFonts w:ascii="Arial" w:hAnsi="Arial" w:cs="Arial"/>
          <w:lang w:val="cs-CZ"/>
        </w:rPr>
        <w:t>oze</w:t>
      </w:r>
      <w:r w:rsidRPr="00754977">
        <w:rPr>
          <w:rFonts w:ascii="Arial" w:hAnsi="Arial" w:cs="Arial"/>
          <w:lang w:val="cs-CZ"/>
        </w:rPr>
        <w:t xml:space="preserve"> č. 1 k této vyhlášce.</w:t>
      </w:r>
    </w:p>
    <w:p w:rsidR="00754977" w:rsidRPr="00754977" w:rsidP="00980C01">
      <w:pPr>
        <w:jc w:val="both"/>
        <w:rPr>
          <w:rFonts w:ascii="Arial" w:hAnsi="Arial" w:cs="Arial"/>
          <w:lang w:val="cs-CZ"/>
        </w:rPr>
      </w:pPr>
    </w:p>
    <w:p w:rsidR="00087744" w:rsidP="00087744">
      <w:pPr>
        <w:jc w:val="both"/>
        <w:rPr>
          <w:rFonts w:ascii="Arial" w:hAnsi="Arial" w:cs="Arial"/>
          <w:lang w:val="cs-CZ"/>
        </w:rPr>
      </w:pPr>
      <w:r w:rsidRPr="005F550B">
        <w:rPr>
          <w:rFonts w:ascii="Arial" w:hAnsi="Arial" w:cs="Arial"/>
          <w:lang w:val="cs-CZ"/>
        </w:rPr>
        <w:tab/>
      </w:r>
      <w:r w:rsidRPr="00E331F0">
        <w:rPr>
          <w:rFonts w:ascii="Arial" w:hAnsi="Arial" w:cs="Arial"/>
          <w:lang w:val="cs-CZ"/>
        </w:rPr>
        <w:t>(</w:t>
      </w:r>
      <w:r w:rsidR="002E343D">
        <w:rPr>
          <w:rFonts w:ascii="Arial" w:hAnsi="Arial" w:cs="Arial"/>
          <w:lang w:val="cs-CZ"/>
        </w:rPr>
        <w:t>3</w:t>
      </w:r>
      <w:r w:rsidRPr="00E331F0">
        <w:rPr>
          <w:rFonts w:ascii="Arial" w:hAnsi="Arial" w:cs="Arial"/>
          <w:lang w:val="cs-CZ"/>
        </w:rPr>
        <w:t xml:space="preserve">) </w:t>
      </w:r>
      <w:r w:rsidR="005B65D1">
        <w:rPr>
          <w:rFonts w:ascii="Arial" w:hAnsi="Arial" w:cs="Arial"/>
          <w:lang w:val="cs-CZ"/>
        </w:rPr>
        <w:t>V případě z</w:t>
      </w:r>
      <w:r w:rsidRPr="00E331F0">
        <w:rPr>
          <w:rFonts w:ascii="Arial" w:hAnsi="Arial" w:cs="Arial"/>
          <w:lang w:val="cs-CZ"/>
        </w:rPr>
        <w:t>novuzískan</w:t>
      </w:r>
      <w:r w:rsidR="005B65D1">
        <w:rPr>
          <w:rFonts w:ascii="Arial" w:hAnsi="Arial" w:cs="Arial"/>
          <w:lang w:val="cs-CZ"/>
        </w:rPr>
        <w:t>é</w:t>
      </w:r>
      <w:r w:rsidRPr="00E331F0">
        <w:rPr>
          <w:rFonts w:ascii="Arial" w:hAnsi="Arial" w:cs="Arial"/>
          <w:lang w:val="cs-CZ"/>
        </w:rPr>
        <w:t xml:space="preserve"> asfaltov</w:t>
      </w:r>
      <w:r w:rsidR="005B65D1">
        <w:rPr>
          <w:rFonts w:ascii="Arial" w:hAnsi="Arial" w:cs="Arial"/>
          <w:lang w:val="cs-CZ"/>
        </w:rPr>
        <w:t>é</w:t>
      </w:r>
      <w:r w:rsidRPr="00E331F0">
        <w:rPr>
          <w:rFonts w:ascii="Arial" w:hAnsi="Arial" w:cs="Arial"/>
          <w:lang w:val="cs-CZ"/>
        </w:rPr>
        <w:t xml:space="preserve"> směs</w:t>
      </w:r>
      <w:r w:rsidR="005B65D1">
        <w:rPr>
          <w:rFonts w:ascii="Arial" w:hAnsi="Arial" w:cs="Arial"/>
          <w:lang w:val="cs-CZ"/>
        </w:rPr>
        <w:t>i</w:t>
      </w:r>
      <w:r w:rsidRPr="00E331F0">
        <w:rPr>
          <w:rFonts w:ascii="Arial" w:hAnsi="Arial" w:cs="Arial"/>
          <w:lang w:val="cs-CZ"/>
        </w:rPr>
        <w:t xml:space="preserve"> z</w:t>
      </w:r>
      <w:r w:rsidR="00BF00FD">
        <w:rPr>
          <w:rFonts w:ascii="Arial" w:hAnsi="Arial" w:cs="Arial"/>
          <w:lang w:val="cs-CZ"/>
        </w:rPr>
        <w:t xml:space="preserve"> vrstev </w:t>
      </w:r>
      <w:r w:rsidRPr="00E331F0">
        <w:rPr>
          <w:rFonts w:ascii="Arial" w:hAnsi="Arial" w:cs="Arial"/>
          <w:lang w:val="cs-CZ"/>
        </w:rPr>
        <w:t xml:space="preserve">pozemních komunikací kategorie </w:t>
      </w:r>
      <w:r w:rsidRPr="0011007C">
        <w:rPr>
          <w:rFonts w:ascii="Arial" w:hAnsi="Arial" w:cs="Arial"/>
          <w:lang w:val="cs-CZ"/>
        </w:rPr>
        <w:t>dálnice</w:t>
      </w:r>
      <w:r w:rsidRPr="00A31D58" w:rsidR="0011007C">
        <w:rPr>
          <w:rFonts w:ascii="Arial" w:hAnsi="Arial" w:cs="Arial"/>
          <w:lang w:val="cs-CZ"/>
        </w:rPr>
        <w:t xml:space="preserve"> </w:t>
      </w:r>
      <w:r w:rsidRPr="0011007C">
        <w:rPr>
          <w:rFonts w:ascii="Arial" w:hAnsi="Arial" w:cs="Arial"/>
          <w:lang w:val="cs-CZ"/>
        </w:rPr>
        <w:t>nebo silnice I. třídy</w:t>
      </w:r>
      <w:r w:rsidRPr="00E331F0">
        <w:rPr>
          <w:rFonts w:ascii="Arial" w:hAnsi="Arial" w:cs="Arial"/>
          <w:lang w:val="cs-CZ"/>
        </w:rPr>
        <w:t>, letištních ploch</w:t>
      </w:r>
      <w:r w:rsidR="007B68B5">
        <w:rPr>
          <w:rFonts w:ascii="Arial" w:hAnsi="Arial" w:cs="Arial"/>
          <w:lang w:val="cs-CZ"/>
        </w:rPr>
        <w:t>,</w:t>
      </w:r>
      <w:r w:rsidR="00BF00FD">
        <w:rPr>
          <w:rFonts w:ascii="Arial" w:hAnsi="Arial" w:cs="Arial"/>
          <w:lang w:val="cs-CZ"/>
        </w:rPr>
        <w:t xml:space="preserve"> manipulačních ploch</w:t>
      </w:r>
      <w:r w:rsidR="007B68B5">
        <w:rPr>
          <w:rFonts w:ascii="Arial" w:hAnsi="Arial" w:cs="Arial"/>
          <w:lang w:val="cs-CZ"/>
        </w:rPr>
        <w:t xml:space="preserve"> </w:t>
      </w:r>
      <w:r w:rsidRPr="00267C57">
        <w:rPr>
          <w:rFonts w:ascii="Arial" w:hAnsi="Arial" w:cs="Arial"/>
          <w:lang w:val="cs-CZ"/>
        </w:rPr>
        <w:t>nebo dalších dopravních ploch</w:t>
      </w:r>
      <w:r w:rsidRPr="00E331F0">
        <w:rPr>
          <w:rFonts w:ascii="Arial" w:hAnsi="Arial" w:cs="Arial"/>
          <w:lang w:val="cs-CZ"/>
        </w:rPr>
        <w:t xml:space="preserve">, které byly prokazatelně vybudovány po </w:t>
      </w:r>
      <w:r w:rsidR="00C545CF">
        <w:rPr>
          <w:rFonts w:ascii="Arial" w:hAnsi="Arial" w:cs="Arial"/>
          <w:lang w:val="cs-CZ"/>
        </w:rPr>
        <w:t xml:space="preserve">1. </w:t>
      </w:r>
      <w:r w:rsidR="00573C66">
        <w:rPr>
          <w:rFonts w:ascii="Arial" w:hAnsi="Arial" w:cs="Arial"/>
          <w:lang w:val="cs-CZ"/>
        </w:rPr>
        <w:t>lednu</w:t>
      </w:r>
      <w:r w:rsidR="006D24E1">
        <w:rPr>
          <w:rFonts w:ascii="Arial" w:hAnsi="Arial" w:cs="Arial"/>
          <w:lang w:val="cs-CZ"/>
        </w:rPr>
        <w:t xml:space="preserve"> </w:t>
      </w:r>
      <w:r w:rsidRPr="00E331F0">
        <w:rPr>
          <w:rFonts w:ascii="Arial" w:hAnsi="Arial" w:cs="Arial"/>
          <w:lang w:val="cs-CZ"/>
        </w:rPr>
        <w:t>2000,</w:t>
      </w:r>
      <w:r w:rsidR="005B65D1">
        <w:rPr>
          <w:rFonts w:ascii="Arial" w:hAnsi="Arial" w:cs="Arial"/>
          <w:lang w:val="cs-CZ"/>
        </w:rPr>
        <w:t xml:space="preserve"> nemusí být provedeno vzorkování a zkoušení. V takovém případě se tato znovuzískaná asfaltová směs </w:t>
      </w:r>
      <w:r w:rsidR="007207AD">
        <w:rPr>
          <w:rFonts w:ascii="Arial" w:hAnsi="Arial" w:cs="Arial"/>
          <w:lang w:val="cs-CZ"/>
        </w:rPr>
        <w:t>považuje za</w:t>
      </w:r>
      <w:r w:rsidRPr="00E331F0">
        <w:rPr>
          <w:rFonts w:ascii="Arial" w:hAnsi="Arial" w:cs="Arial"/>
          <w:lang w:val="cs-CZ"/>
        </w:rPr>
        <w:t xml:space="preserve"> </w:t>
      </w:r>
      <w:r w:rsidR="005507AD">
        <w:rPr>
          <w:rFonts w:ascii="Arial" w:hAnsi="Arial" w:cs="Arial"/>
          <w:lang w:val="cs-CZ"/>
        </w:rPr>
        <w:t xml:space="preserve">znovuzískanou asfaltovou směs </w:t>
      </w:r>
      <w:r w:rsidRPr="00E331F0">
        <w:rPr>
          <w:rFonts w:ascii="Arial" w:hAnsi="Arial" w:cs="Arial"/>
          <w:lang w:val="cs-CZ"/>
        </w:rPr>
        <w:t>jakostní třídy ZAS</w:t>
      </w:r>
      <w:r w:rsidR="003B4813">
        <w:rPr>
          <w:rFonts w:ascii="Arial" w:hAnsi="Arial" w:cs="Arial"/>
          <w:lang w:val="cs-CZ"/>
        </w:rPr>
        <w:t>-</w:t>
      </w:r>
      <w:r w:rsidRPr="00E331F0">
        <w:rPr>
          <w:rFonts w:ascii="Arial" w:hAnsi="Arial" w:cs="Arial"/>
          <w:lang w:val="cs-CZ"/>
        </w:rPr>
        <w:t>T3.</w:t>
      </w:r>
    </w:p>
    <w:p w:rsidR="002E343D" w:rsidP="00087744">
      <w:pPr>
        <w:jc w:val="both"/>
        <w:rPr>
          <w:rFonts w:ascii="Arial" w:hAnsi="Arial" w:cs="Arial"/>
          <w:lang w:val="cs-CZ"/>
        </w:rPr>
      </w:pPr>
    </w:p>
    <w:p w:rsidR="00DD3EB0" w:rsidRPr="00E331F0" w:rsidP="00087744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2E343D">
        <w:rPr>
          <w:rFonts w:ascii="Arial" w:hAnsi="Arial" w:cs="Arial"/>
          <w:lang w:val="cs-CZ"/>
        </w:rPr>
        <w:t xml:space="preserve">(4) </w:t>
      </w:r>
      <w:r>
        <w:rPr>
          <w:rFonts w:ascii="Arial" w:hAnsi="Arial" w:cs="Arial"/>
          <w:lang w:val="cs-CZ"/>
        </w:rPr>
        <w:t>Pokud není provedeno v</w:t>
      </w:r>
      <w:r w:rsidR="002E343D">
        <w:rPr>
          <w:rFonts w:ascii="Arial" w:hAnsi="Arial" w:cs="Arial"/>
          <w:lang w:val="cs-CZ"/>
        </w:rPr>
        <w:t xml:space="preserve">zorkování a zkoušení </w:t>
      </w:r>
      <w:r w:rsidR="00195646">
        <w:rPr>
          <w:rFonts w:ascii="Arial" w:hAnsi="Arial" w:cs="Arial"/>
          <w:lang w:val="cs-CZ"/>
        </w:rPr>
        <w:t>podle § 7 až 9</w:t>
      </w:r>
      <w:r>
        <w:rPr>
          <w:rFonts w:ascii="Arial" w:hAnsi="Arial" w:cs="Arial"/>
          <w:lang w:val="cs-CZ"/>
        </w:rPr>
        <w:t xml:space="preserve">, může být asfaltová směs pro účely posouzení splnění </w:t>
      </w:r>
      <w:r w:rsidR="00195646">
        <w:rPr>
          <w:rFonts w:ascii="Arial" w:hAnsi="Arial" w:cs="Arial"/>
          <w:lang w:val="cs-CZ"/>
        </w:rPr>
        <w:t>kritérií</w:t>
      </w:r>
      <w:r>
        <w:rPr>
          <w:rFonts w:ascii="Arial" w:hAnsi="Arial" w:cs="Arial"/>
          <w:lang w:val="cs-CZ"/>
        </w:rPr>
        <w:t xml:space="preserve"> </w:t>
      </w:r>
      <w:r w:rsidR="00195646">
        <w:rPr>
          <w:rFonts w:ascii="Arial" w:hAnsi="Arial" w:cs="Arial"/>
          <w:lang w:val="cs-CZ"/>
        </w:rPr>
        <w:t>podle odstavce 1</w:t>
      </w:r>
      <w:r>
        <w:rPr>
          <w:rFonts w:ascii="Arial" w:hAnsi="Arial" w:cs="Arial"/>
          <w:lang w:val="cs-CZ"/>
        </w:rPr>
        <w:t xml:space="preserve"> považována za znovuzískanou asfaltovou směs jakostní třídy </w:t>
      </w:r>
      <w:r w:rsidRPr="00754977">
        <w:rPr>
          <w:rFonts w:ascii="Arial" w:hAnsi="Arial" w:cs="Arial"/>
          <w:lang w:val="cs-CZ"/>
        </w:rPr>
        <w:t>ZAS-T4</w:t>
      </w:r>
      <w:r>
        <w:rPr>
          <w:rFonts w:ascii="Arial" w:hAnsi="Arial" w:cs="Arial"/>
          <w:lang w:val="cs-CZ"/>
        </w:rPr>
        <w:t>.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ind w:firstLine="708"/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 xml:space="preserve">(5) Pokud se při vzorkování </w:t>
      </w:r>
      <w:r w:rsidR="002E343D">
        <w:rPr>
          <w:rFonts w:ascii="Arial" w:hAnsi="Arial" w:cs="Arial"/>
          <w:lang w:val="cs-CZ"/>
        </w:rPr>
        <w:t xml:space="preserve">a zkoušení </w:t>
      </w:r>
      <w:r w:rsidRPr="00E331F0">
        <w:rPr>
          <w:rFonts w:ascii="Arial" w:hAnsi="Arial" w:cs="Arial"/>
          <w:lang w:val="cs-CZ"/>
        </w:rPr>
        <w:t>zjistí, že jednotlivé vrstvy naplňují podmínky pro zařazení do různých jakostních tříd,</w:t>
      </w:r>
      <w:r w:rsidR="00CA69D6">
        <w:rPr>
          <w:rFonts w:ascii="Arial" w:hAnsi="Arial" w:cs="Arial"/>
          <w:lang w:val="cs-CZ"/>
        </w:rPr>
        <w:t xml:space="preserve"> vybourají se jednotlivé vrstvy odděleně.</w:t>
      </w:r>
      <w:r w:rsidRPr="00E331F0">
        <w:rPr>
          <w:rFonts w:ascii="Arial" w:hAnsi="Arial" w:cs="Arial"/>
          <w:lang w:val="cs-CZ"/>
        </w:rPr>
        <w:t xml:space="preserve"> </w:t>
      </w:r>
      <w:r w:rsidR="00CA69D6">
        <w:rPr>
          <w:rFonts w:ascii="Arial" w:hAnsi="Arial" w:cs="Arial"/>
          <w:lang w:val="cs-CZ"/>
        </w:rPr>
        <w:t xml:space="preserve">Pokud nejsou jednotlivé vrstvy vybourány odděleně, </w:t>
      </w:r>
      <w:r w:rsidRPr="00E331F0">
        <w:rPr>
          <w:rFonts w:ascii="Arial" w:hAnsi="Arial" w:cs="Arial"/>
          <w:lang w:val="cs-CZ"/>
        </w:rPr>
        <w:t>zařaz</w:t>
      </w:r>
      <w:r w:rsidR="005C6D66">
        <w:rPr>
          <w:rFonts w:ascii="Arial" w:hAnsi="Arial" w:cs="Arial"/>
          <w:lang w:val="cs-CZ"/>
        </w:rPr>
        <w:t>uj</w:t>
      </w:r>
      <w:r w:rsidRPr="00E331F0">
        <w:rPr>
          <w:rFonts w:ascii="Arial" w:hAnsi="Arial" w:cs="Arial"/>
          <w:lang w:val="cs-CZ"/>
        </w:rPr>
        <w:t xml:space="preserve">e </w:t>
      </w:r>
      <w:r w:rsidR="005C6D66">
        <w:rPr>
          <w:rFonts w:ascii="Arial" w:hAnsi="Arial" w:cs="Arial"/>
          <w:lang w:val="cs-CZ"/>
        </w:rPr>
        <w:t xml:space="preserve">se znovuzískaná asfaltová směs </w:t>
      </w:r>
      <w:r w:rsidRPr="00E331F0">
        <w:rPr>
          <w:rFonts w:ascii="Arial" w:hAnsi="Arial" w:cs="Arial"/>
          <w:lang w:val="cs-CZ"/>
        </w:rPr>
        <w:t xml:space="preserve">do jakostní třídy podle vrstvy s nejvyšším obsahem </w:t>
      </w:r>
      <w:r w:rsidRPr="00E331F0">
        <w:rPr>
          <w:rFonts w:ascii="Arial" w:hAnsi="Arial" w:cs="Arial"/>
          <w:lang w:val="cs-CZ"/>
        </w:rPr>
        <w:t>polyaromatických</w:t>
      </w:r>
      <w:r w:rsidRPr="00E331F0">
        <w:rPr>
          <w:rFonts w:ascii="Arial" w:hAnsi="Arial" w:cs="Arial"/>
          <w:lang w:val="cs-CZ"/>
        </w:rPr>
        <w:t xml:space="preserve"> uhlovodíků</w:t>
      </w:r>
      <w:r w:rsidR="005C6D66">
        <w:rPr>
          <w:rFonts w:ascii="Arial" w:hAnsi="Arial" w:cs="Arial"/>
          <w:lang w:val="cs-CZ"/>
        </w:rPr>
        <w:t>.</w:t>
      </w:r>
    </w:p>
    <w:p w:rsidR="007062AD" w:rsidP="00087744">
      <w:pPr>
        <w:jc w:val="both"/>
        <w:rPr>
          <w:rFonts w:ascii="Arial" w:hAnsi="Arial" w:cs="Arial"/>
          <w:lang w:val="cs-CZ"/>
        </w:rPr>
      </w:pPr>
    </w:p>
    <w:p w:rsidR="00573C66" w:rsidP="00087744">
      <w:pPr>
        <w:jc w:val="both"/>
        <w:rPr>
          <w:rFonts w:ascii="Arial" w:hAnsi="Arial" w:cs="Arial"/>
          <w:lang w:val="cs-CZ"/>
        </w:rPr>
      </w:pPr>
    </w:p>
    <w:p w:rsidR="00244B55" w:rsidP="00087744">
      <w:pPr>
        <w:jc w:val="both"/>
        <w:rPr>
          <w:rFonts w:ascii="Arial" w:hAnsi="Arial" w:cs="Arial"/>
          <w:lang w:val="cs-CZ"/>
        </w:rPr>
      </w:pPr>
    </w:p>
    <w:p w:rsidR="00244B55" w:rsidP="00087744">
      <w:pPr>
        <w:jc w:val="both"/>
        <w:rPr>
          <w:rFonts w:ascii="Arial" w:hAnsi="Arial" w:cs="Arial"/>
          <w:lang w:val="cs-CZ"/>
        </w:rPr>
      </w:pPr>
    </w:p>
    <w:p w:rsidR="00244B55" w:rsidRPr="00082545" w:rsidP="00087744">
      <w:pPr>
        <w:jc w:val="both"/>
        <w:rPr>
          <w:rFonts w:ascii="Arial" w:hAnsi="Arial" w:cs="Arial"/>
          <w:lang w:val="cs-CZ"/>
        </w:rPr>
      </w:pPr>
    </w:p>
    <w:p w:rsidR="00087744" w:rsidP="00087744">
      <w:pPr>
        <w:jc w:val="center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>§ 4</w:t>
      </w:r>
    </w:p>
    <w:p w:rsidR="00670478" w:rsidRPr="00082545" w:rsidP="00087744">
      <w:pPr>
        <w:jc w:val="center"/>
        <w:rPr>
          <w:rFonts w:ascii="Arial" w:hAnsi="Arial" w:cs="Arial"/>
          <w:lang w:val="cs-CZ"/>
        </w:rPr>
      </w:pPr>
    </w:p>
    <w:p w:rsidR="00087744" w:rsidRPr="00082545" w:rsidP="00087744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 Kritéria pro</w:t>
      </w:r>
      <w:r w:rsidR="00D81D4C">
        <w:rPr>
          <w:rFonts w:ascii="Arial" w:hAnsi="Arial" w:cs="Arial"/>
          <w:b/>
          <w:lang w:val="cs-CZ"/>
        </w:rPr>
        <w:t xml:space="preserve"> použití</w:t>
      </w:r>
      <w:r w:rsidR="001003F6">
        <w:rPr>
          <w:rFonts w:ascii="Arial" w:hAnsi="Arial" w:cs="Arial"/>
          <w:b/>
          <w:lang w:val="cs-CZ"/>
        </w:rPr>
        <w:t xml:space="preserve"> z</w:t>
      </w:r>
      <w:r w:rsidRPr="00082545">
        <w:rPr>
          <w:rFonts w:ascii="Arial" w:hAnsi="Arial" w:cs="Arial"/>
          <w:b/>
          <w:lang w:val="cs-CZ"/>
        </w:rPr>
        <w:t>novuzískan</w:t>
      </w:r>
      <w:r w:rsidR="00D81D4C">
        <w:rPr>
          <w:rFonts w:ascii="Arial" w:hAnsi="Arial" w:cs="Arial"/>
          <w:b/>
          <w:lang w:val="cs-CZ"/>
        </w:rPr>
        <w:t>é</w:t>
      </w:r>
      <w:r w:rsidRPr="00082545">
        <w:rPr>
          <w:rFonts w:ascii="Arial" w:hAnsi="Arial" w:cs="Arial"/>
          <w:b/>
          <w:lang w:val="cs-CZ"/>
        </w:rPr>
        <w:t xml:space="preserve"> asfaltov</w:t>
      </w:r>
      <w:r w:rsidR="00D81D4C">
        <w:rPr>
          <w:rFonts w:ascii="Arial" w:hAnsi="Arial" w:cs="Arial"/>
          <w:b/>
          <w:lang w:val="cs-CZ"/>
        </w:rPr>
        <w:t>é</w:t>
      </w:r>
      <w:r w:rsidRPr="00082545">
        <w:rPr>
          <w:rFonts w:ascii="Arial" w:hAnsi="Arial" w:cs="Arial"/>
          <w:b/>
          <w:lang w:val="cs-CZ"/>
        </w:rPr>
        <w:t xml:space="preserve"> směs</w:t>
      </w:r>
      <w:r w:rsidR="00D81D4C">
        <w:rPr>
          <w:rFonts w:ascii="Arial" w:hAnsi="Arial" w:cs="Arial"/>
          <w:b/>
          <w:lang w:val="cs-CZ"/>
        </w:rPr>
        <w:t>i</w:t>
      </w:r>
      <w:r w:rsidRPr="00082545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jakostní</w:t>
      </w:r>
      <w:r w:rsidRPr="00082545">
        <w:rPr>
          <w:rFonts w:ascii="Arial" w:hAnsi="Arial" w:cs="Arial"/>
          <w:b/>
          <w:lang w:val="cs-CZ"/>
        </w:rPr>
        <w:t xml:space="preserve"> třídy ZAS</w:t>
      </w:r>
      <w:r w:rsidR="003B4813">
        <w:rPr>
          <w:rFonts w:ascii="Arial" w:hAnsi="Arial" w:cs="Arial"/>
          <w:b/>
          <w:lang w:val="cs-CZ"/>
        </w:rPr>
        <w:t>-</w:t>
      </w:r>
      <w:r w:rsidRPr="00082545">
        <w:rPr>
          <w:rFonts w:ascii="Arial" w:hAnsi="Arial" w:cs="Arial"/>
          <w:b/>
          <w:lang w:val="cs-CZ"/>
        </w:rPr>
        <w:t>T1 nebo ZAS</w:t>
      </w:r>
      <w:r w:rsidR="003B4813">
        <w:rPr>
          <w:rFonts w:ascii="Arial" w:hAnsi="Arial" w:cs="Arial"/>
          <w:b/>
          <w:lang w:val="cs-CZ"/>
        </w:rPr>
        <w:t>-</w:t>
      </w:r>
      <w:r w:rsidRPr="00082545">
        <w:rPr>
          <w:rFonts w:ascii="Arial" w:hAnsi="Arial" w:cs="Arial"/>
          <w:b/>
          <w:lang w:val="cs-CZ"/>
        </w:rPr>
        <w:t>T2</w:t>
      </w:r>
    </w:p>
    <w:p w:rsidR="00087744" w:rsidRPr="00082545" w:rsidP="00087744">
      <w:pPr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jc w:val="both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ab/>
      </w:r>
      <w:r w:rsidRPr="00E331F0">
        <w:rPr>
          <w:rFonts w:ascii="Arial" w:hAnsi="Arial" w:cs="Arial"/>
          <w:lang w:val="cs-CZ"/>
        </w:rPr>
        <w:t>(1) Frézovaná znovuzískaná asfaltová směs jakostní třídy ZAS</w:t>
      </w:r>
      <w:r w:rsidR="008A34B6">
        <w:rPr>
          <w:rFonts w:ascii="Arial" w:hAnsi="Arial" w:cs="Arial"/>
          <w:lang w:val="cs-CZ"/>
        </w:rPr>
        <w:t>-T1 nebo ZAS-</w:t>
      </w:r>
      <w:r w:rsidRPr="00E331F0">
        <w:rPr>
          <w:rFonts w:ascii="Arial" w:hAnsi="Arial" w:cs="Arial"/>
          <w:lang w:val="cs-CZ"/>
        </w:rPr>
        <w:t>T2 se nestává odpadem, ale je vedlejším produktem, nebo frézovaná nebo drcená znovuzískaná asfa</w:t>
      </w:r>
      <w:r w:rsidR="008A34B6">
        <w:rPr>
          <w:rFonts w:ascii="Arial" w:hAnsi="Arial" w:cs="Arial"/>
          <w:lang w:val="cs-CZ"/>
        </w:rPr>
        <w:t>ltová směs jakostní třídy ZAS-T1 nebo ZAS-</w:t>
      </w:r>
      <w:r w:rsidRPr="00E331F0">
        <w:rPr>
          <w:rFonts w:ascii="Arial" w:hAnsi="Arial" w:cs="Arial"/>
          <w:lang w:val="cs-CZ"/>
        </w:rPr>
        <w:t>T2 vystupující ze zařízení na využití odpadu přestává být odpadem, pokud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>se použije výhradně pro některý z dále uvedených účelů:</w:t>
      </w:r>
    </w:p>
    <w:p w:rsidR="006D24E1" w:rsidP="00087744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>výroba asfaltové směsi vyráběné za horka, za tepla nebo za studena</w:t>
      </w:r>
      <w:r w:rsidR="00AE206B">
        <w:rPr>
          <w:rFonts w:ascii="Arial" w:hAnsi="Arial" w:cs="Arial"/>
          <w:lang w:val="cs-CZ"/>
        </w:rPr>
        <w:t>,</w:t>
      </w:r>
    </w:p>
    <w:p w:rsidR="00087744" w:rsidRPr="00E331F0" w:rsidP="00087744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>nestmelená podkladní vrstva pozemní komunikace, letištní</w:t>
      </w:r>
      <w:r w:rsidR="00267C57">
        <w:rPr>
          <w:rFonts w:ascii="Arial" w:hAnsi="Arial" w:cs="Arial"/>
          <w:lang w:val="cs-CZ"/>
        </w:rPr>
        <w:t>, manipulační</w:t>
      </w:r>
      <w:r w:rsidRPr="00E331F0">
        <w:rPr>
          <w:rFonts w:ascii="Arial" w:hAnsi="Arial" w:cs="Arial"/>
          <w:lang w:val="cs-CZ"/>
        </w:rPr>
        <w:t xml:space="preserve"> nebo obdobné dopravní plochy,</w:t>
      </w:r>
    </w:p>
    <w:p w:rsidR="00087744" w:rsidRPr="00E331F0" w:rsidP="00087744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>ochranná vrstva pozemní komunikace či letištní nebo obdobné dopravní plochy,</w:t>
      </w:r>
    </w:p>
    <w:p w:rsidR="00087744" w:rsidRPr="00E331F0" w:rsidP="00087744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 xml:space="preserve">konstrukce zemního tělesa pozemní komunikace nebo stavby železniční trati, </w:t>
      </w:r>
    </w:p>
    <w:p w:rsidR="00087744" w:rsidRPr="00E331F0" w:rsidP="00087744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>nestmelená konstrukční vrstva polních a lesních cest,</w:t>
      </w:r>
    </w:p>
    <w:p w:rsidR="00087744" w:rsidRPr="00E331F0" w:rsidP="00087744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>hydraulicky stmelená podkladní vrstva pozemní komunikace, letištní nebo obdobné dopravní plochy či konstrukce železniční trati</w:t>
      </w:r>
      <w:r w:rsidR="00AE206B">
        <w:rPr>
          <w:rFonts w:ascii="Arial" w:hAnsi="Arial" w:cs="Arial"/>
          <w:lang w:val="cs-CZ"/>
        </w:rPr>
        <w:t>,</w:t>
      </w:r>
      <w:r w:rsidR="006D24E1">
        <w:rPr>
          <w:rFonts w:ascii="Arial" w:hAnsi="Arial" w:cs="Arial"/>
          <w:lang w:val="cs-CZ"/>
        </w:rPr>
        <w:t xml:space="preserve"> a</w:t>
      </w:r>
    </w:p>
    <w:p w:rsidR="00087744" w:rsidRPr="00082545" w:rsidP="00087744">
      <w:pPr>
        <w:pStyle w:val="ListParagraph"/>
        <w:ind w:left="709"/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 xml:space="preserve">b) </w:t>
      </w:r>
      <w:r w:rsidR="005C6D66">
        <w:rPr>
          <w:rFonts w:ascii="Arial" w:hAnsi="Arial" w:cs="Arial"/>
          <w:lang w:val="cs-CZ"/>
        </w:rPr>
        <w:t xml:space="preserve">v případě </w:t>
      </w:r>
      <w:r w:rsidRPr="00E331F0">
        <w:rPr>
          <w:rFonts w:ascii="Arial" w:hAnsi="Arial" w:cs="Arial"/>
          <w:lang w:val="cs-CZ"/>
        </w:rPr>
        <w:t>znovuzískan</w:t>
      </w:r>
      <w:r w:rsidR="005C6D66">
        <w:rPr>
          <w:rFonts w:ascii="Arial" w:hAnsi="Arial" w:cs="Arial"/>
          <w:lang w:val="cs-CZ"/>
        </w:rPr>
        <w:t>é</w:t>
      </w:r>
      <w:r w:rsidRPr="00E331F0">
        <w:rPr>
          <w:rFonts w:ascii="Arial" w:hAnsi="Arial" w:cs="Arial"/>
          <w:lang w:val="cs-CZ"/>
        </w:rPr>
        <w:t xml:space="preserve"> asfaltov</w:t>
      </w:r>
      <w:r w:rsidR="005C6D66">
        <w:rPr>
          <w:rFonts w:ascii="Arial" w:hAnsi="Arial" w:cs="Arial"/>
          <w:lang w:val="cs-CZ"/>
        </w:rPr>
        <w:t>é</w:t>
      </w:r>
      <w:r w:rsidRPr="00E331F0">
        <w:rPr>
          <w:rFonts w:ascii="Arial" w:hAnsi="Arial" w:cs="Arial"/>
          <w:lang w:val="cs-CZ"/>
        </w:rPr>
        <w:t xml:space="preserve"> směs</w:t>
      </w:r>
      <w:r w:rsidR="005C6D66">
        <w:rPr>
          <w:rFonts w:ascii="Arial" w:hAnsi="Arial" w:cs="Arial"/>
          <w:lang w:val="cs-CZ"/>
        </w:rPr>
        <w:t>i</w:t>
      </w:r>
      <w:r w:rsidR="008A34B6">
        <w:rPr>
          <w:rFonts w:ascii="Arial" w:hAnsi="Arial" w:cs="Arial"/>
          <w:lang w:val="cs-CZ"/>
        </w:rPr>
        <w:t xml:space="preserve"> jakostní třídy ZAS-</w:t>
      </w:r>
      <w:r w:rsidRPr="00E331F0">
        <w:rPr>
          <w:rFonts w:ascii="Arial" w:hAnsi="Arial" w:cs="Arial"/>
          <w:lang w:val="cs-CZ"/>
        </w:rPr>
        <w:t xml:space="preserve">T2 nebude </w:t>
      </w:r>
      <w:r w:rsidR="005C6D66">
        <w:rPr>
          <w:rFonts w:ascii="Arial" w:hAnsi="Arial" w:cs="Arial"/>
          <w:lang w:val="cs-CZ"/>
        </w:rPr>
        <w:t>po</w:t>
      </w:r>
      <w:r w:rsidRPr="00E331F0">
        <w:rPr>
          <w:rFonts w:ascii="Arial" w:hAnsi="Arial" w:cs="Arial"/>
          <w:lang w:val="cs-CZ"/>
        </w:rPr>
        <w:t>užita v nestmelených aplikacích při realizaci stavebních prací v ochranných pásmech vodních zdrojů</w:t>
      </w:r>
      <w:r>
        <w:rPr>
          <w:rStyle w:val="FootnoteReference"/>
          <w:rFonts w:ascii="Arial" w:hAnsi="Arial" w:cs="Arial"/>
          <w:lang w:val="cs-CZ"/>
        </w:rPr>
        <w:footnoteReference w:id="3"/>
      </w:r>
      <w:r w:rsidR="00FE7E18">
        <w:rPr>
          <w:rFonts w:ascii="Arial" w:hAnsi="Arial" w:cs="Arial"/>
          <w:vertAlign w:val="superscript"/>
          <w:lang w:val="cs-CZ"/>
        </w:rPr>
        <w:t>)</w:t>
      </w:r>
      <w:r w:rsidRPr="00E331F0">
        <w:rPr>
          <w:rFonts w:ascii="Arial" w:hAnsi="Arial" w:cs="Arial"/>
          <w:lang w:val="cs-CZ"/>
        </w:rPr>
        <w:t xml:space="preserve">. </w:t>
      </w:r>
    </w:p>
    <w:p w:rsidR="00087744" w:rsidRPr="00E331F0" w:rsidP="0080612A">
      <w:pPr>
        <w:spacing w:before="120"/>
        <w:jc w:val="both"/>
        <w:rPr>
          <w:rFonts w:ascii="Arial" w:hAnsi="Arial" w:cs="Arial"/>
          <w:lang w:val="cs-CZ"/>
        </w:rPr>
      </w:pPr>
      <w:r w:rsidRPr="005F550B">
        <w:rPr>
          <w:rFonts w:ascii="Arial" w:hAnsi="Arial" w:cs="Arial"/>
          <w:lang w:val="cs-CZ"/>
        </w:rPr>
        <w:tab/>
      </w:r>
      <w:r w:rsidRPr="00E331F0">
        <w:rPr>
          <w:rFonts w:ascii="Arial" w:hAnsi="Arial" w:cs="Arial"/>
          <w:lang w:val="cs-CZ"/>
        </w:rPr>
        <w:t xml:space="preserve">(2) Frézovaná znovuzískaná asfaltová směs jakostní </w:t>
      </w:r>
      <w:r w:rsidR="008A34B6">
        <w:rPr>
          <w:rFonts w:ascii="Arial" w:hAnsi="Arial" w:cs="Arial"/>
          <w:lang w:val="cs-CZ"/>
        </w:rPr>
        <w:t>třídy ZAS-T1 nebo ZAS-</w:t>
      </w:r>
      <w:r w:rsidRPr="00E331F0">
        <w:rPr>
          <w:rFonts w:ascii="Arial" w:hAnsi="Arial" w:cs="Arial"/>
          <w:lang w:val="cs-CZ"/>
        </w:rPr>
        <w:t>T2 se dále nestává odpadem, ale je vedlejším produktem, pokud je použita v technologiích recyklace na místě</w:t>
      </w:r>
      <w:r w:rsidR="00BF00FD">
        <w:rPr>
          <w:rFonts w:ascii="Arial" w:hAnsi="Arial" w:cs="Arial"/>
          <w:lang w:val="cs-CZ"/>
        </w:rPr>
        <w:t xml:space="preserve"> a v případě </w:t>
      </w:r>
      <w:r w:rsidRPr="00E331F0" w:rsidR="00BF00FD">
        <w:rPr>
          <w:rFonts w:ascii="Arial" w:hAnsi="Arial" w:cs="Arial"/>
          <w:lang w:val="cs-CZ"/>
        </w:rPr>
        <w:t>znovuzískan</w:t>
      </w:r>
      <w:r w:rsidR="00BF00FD">
        <w:rPr>
          <w:rFonts w:ascii="Arial" w:hAnsi="Arial" w:cs="Arial"/>
          <w:lang w:val="cs-CZ"/>
        </w:rPr>
        <w:t>é</w:t>
      </w:r>
      <w:r w:rsidRPr="00E331F0" w:rsidR="00BF00FD">
        <w:rPr>
          <w:rFonts w:ascii="Arial" w:hAnsi="Arial" w:cs="Arial"/>
          <w:lang w:val="cs-CZ"/>
        </w:rPr>
        <w:t xml:space="preserve"> asfaltov</w:t>
      </w:r>
      <w:r w:rsidR="00BF00FD">
        <w:rPr>
          <w:rFonts w:ascii="Arial" w:hAnsi="Arial" w:cs="Arial"/>
          <w:lang w:val="cs-CZ"/>
        </w:rPr>
        <w:t>é</w:t>
      </w:r>
      <w:r w:rsidRPr="00E331F0" w:rsidR="00BF00FD">
        <w:rPr>
          <w:rFonts w:ascii="Arial" w:hAnsi="Arial" w:cs="Arial"/>
          <w:lang w:val="cs-CZ"/>
        </w:rPr>
        <w:t xml:space="preserve"> směs</w:t>
      </w:r>
      <w:r w:rsidR="00BF00FD">
        <w:rPr>
          <w:rFonts w:ascii="Arial" w:hAnsi="Arial" w:cs="Arial"/>
          <w:lang w:val="cs-CZ"/>
        </w:rPr>
        <w:t>i</w:t>
      </w:r>
      <w:r w:rsidR="008A34B6">
        <w:rPr>
          <w:rFonts w:ascii="Arial" w:hAnsi="Arial" w:cs="Arial"/>
          <w:lang w:val="cs-CZ"/>
        </w:rPr>
        <w:t xml:space="preserve"> jakostní třídy ZAS-</w:t>
      </w:r>
      <w:r w:rsidRPr="00E331F0" w:rsidR="00BF00FD">
        <w:rPr>
          <w:rFonts w:ascii="Arial" w:hAnsi="Arial" w:cs="Arial"/>
          <w:lang w:val="cs-CZ"/>
        </w:rPr>
        <w:t xml:space="preserve">T2 nebude </w:t>
      </w:r>
      <w:r w:rsidR="00BF00FD">
        <w:rPr>
          <w:rFonts w:ascii="Arial" w:hAnsi="Arial" w:cs="Arial"/>
          <w:lang w:val="cs-CZ"/>
        </w:rPr>
        <w:t>po</w:t>
      </w:r>
      <w:r w:rsidRPr="00E331F0" w:rsidR="00BF00FD">
        <w:rPr>
          <w:rFonts w:ascii="Arial" w:hAnsi="Arial" w:cs="Arial"/>
          <w:lang w:val="cs-CZ"/>
        </w:rPr>
        <w:t>užita v nestmelených aplikacích při realizaci stavebních prací v ochranných pásmech vodních zdrojů</w:t>
      </w:r>
      <w:r w:rsidR="00BF00FD">
        <w:rPr>
          <w:rFonts w:ascii="Arial" w:hAnsi="Arial" w:cs="Arial"/>
          <w:vertAlign w:val="superscript"/>
          <w:lang w:val="cs-CZ"/>
        </w:rPr>
        <w:t>2</w:t>
      </w:r>
      <w:r w:rsidR="008007F2">
        <w:rPr>
          <w:rFonts w:ascii="Arial" w:hAnsi="Arial" w:cs="Arial"/>
          <w:vertAlign w:val="superscript"/>
          <w:lang w:val="cs-CZ"/>
        </w:rPr>
        <w:t>)</w:t>
      </w:r>
      <w:r w:rsidR="00BF00FD">
        <w:rPr>
          <w:rFonts w:ascii="Arial" w:hAnsi="Arial" w:cs="Arial"/>
          <w:lang w:val="cs-CZ"/>
        </w:rPr>
        <w:t>.</w:t>
      </w:r>
      <w:r w:rsidRPr="00E331F0">
        <w:rPr>
          <w:rFonts w:ascii="Arial" w:hAnsi="Arial" w:cs="Arial"/>
          <w:lang w:val="cs-CZ"/>
        </w:rPr>
        <w:t xml:space="preserve"> </w:t>
      </w:r>
    </w:p>
    <w:p w:rsidR="00087744" w:rsidRPr="00E331F0" w:rsidP="0080612A">
      <w:pPr>
        <w:spacing w:before="120"/>
        <w:jc w:val="both"/>
        <w:rPr>
          <w:rFonts w:ascii="Arial" w:hAnsi="Arial" w:cs="Arial"/>
          <w:lang w:val="cs-CZ"/>
        </w:rPr>
      </w:pPr>
      <w:r w:rsidRPr="005F550B">
        <w:rPr>
          <w:rFonts w:ascii="Arial" w:hAnsi="Arial" w:cs="Arial"/>
          <w:lang w:val="cs-CZ"/>
        </w:rPr>
        <w:tab/>
      </w:r>
      <w:r w:rsidRPr="00E331F0">
        <w:rPr>
          <w:rFonts w:ascii="Arial" w:hAnsi="Arial" w:cs="Arial"/>
          <w:lang w:val="cs-CZ"/>
        </w:rPr>
        <w:t>(3) Znovuzískaná asfa</w:t>
      </w:r>
      <w:r w:rsidR="008A34B6">
        <w:rPr>
          <w:rFonts w:ascii="Arial" w:hAnsi="Arial" w:cs="Arial"/>
          <w:lang w:val="cs-CZ"/>
        </w:rPr>
        <w:t>ltová směs jakostní třídy ZAS-T1 nebo ZAS-</w:t>
      </w:r>
      <w:r w:rsidRPr="00E331F0">
        <w:rPr>
          <w:rFonts w:ascii="Arial" w:hAnsi="Arial" w:cs="Arial"/>
          <w:lang w:val="cs-CZ"/>
        </w:rPr>
        <w:t xml:space="preserve">T2 v podobě asfaltových ker se nestává odpadem, ale je vedlejším produktem, pokud je zajištěno její předání do obalovny </w:t>
      </w:r>
      <w:r w:rsidR="003B4813">
        <w:rPr>
          <w:rFonts w:ascii="Arial" w:hAnsi="Arial" w:cs="Arial"/>
          <w:lang w:val="cs-CZ"/>
        </w:rPr>
        <w:t xml:space="preserve">asfaltových </w:t>
      </w:r>
      <w:r w:rsidR="00A46121">
        <w:rPr>
          <w:rFonts w:ascii="Arial" w:hAnsi="Arial" w:cs="Arial"/>
          <w:lang w:val="cs-CZ"/>
        </w:rPr>
        <w:t xml:space="preserve">směsí, kde bude použita </w:t>
      </w:r>
      <w:r w:rsidRPr="00E331F0">
        <w:rPr>
          <w:rFonts w:ascii="Arial" w:hAnsi="Arial" w:cs="Arial"/>
          <w:lang w:val="cs-CZ"/>
        </w:rPr>
        <w:t>k výrobě asfaltové směsi vyráběné za horka, za tepla nebo za studena.</w:t>
      </w:r>
    </w:p>
    <w:p w:rsidR="003249CA" w:rsidRPr="00082545" w:rsidP="00087744">
      <w:pPr>
        <w:jc w:val="both"/>
        <w:rPr>
          <w:rFonts w:ascii="Arial" w:hAnsi="Arial" w:cs="Arial"/>
          <w:lang w:val="cs-CZ"/>
        </w:rPr>
      </w:pPr>
    </w:p>
    <w:p w:rsidR="00087744" w:rsidRPr="00082545" w:rsidP="00087744">
      <w:pPr>
        <w:spacing w:before="120"/>
        <w:jc w:val="center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>§ 5</w:t>
      </w:r>
    </w:p>
    <w:p w:rsidR="00087744" w:rsidRPr="00082545" w:rsidP="00087744">
      <w:pPr>
        <w:jc w:val="center"/>
        <w:rPr>
          <w:rFonts w:ascii="Arial" w:hAnsi="Arial" w:cs="Arial"/>
          <w:lang w:val="cs-CZ"/>
        </w:rPr>
      </w:pPr>
    </w:p>
    <w:p w:rsidR="00087744" w:rsidRPr="00082545" w:rsidP="007062AD">
      <w:pPr>
        <w:jc w:val="center"/>
        <w:rPr>
          <w:rFonts w:ascii="Arial" w:hAnsi="Arial" w:cs="Arial"/>
          <w:b/>
          <w:lang w:val="cs-CZ"/>
        </w:rPr>
      </w:pPr>
      <w:r w:rsidRPr="000E15F8">
        <w:rPr>
          <w:rFonts w:ascii="Arial" w:hAnsi="Arial" w:cs="Arial"/>
          <w:b/>
          <w:lang w:val="cs-CZ"/>
        </w:rPr>
        <w:t xml:space="preserve"> </w:t>
      </w:r>
      <w:r w:rsidR="00130AFB">
        <w:rPr>
          <w:rFonts w:ascii="Arial" w:hAnsi="Arial" w:cs="Arial"/>
          <w:b/>
          <w:lang w:val="cs-CZ"/>
        </w:rPr>
        <w:t>Kritéria pro</w:t>
      </w:r>
      <w:r w:rsidR="00D81D4C">
        <w:rPr>
          <w:rFonts w:ascii="Arial" w:hAnsi="Arial" w:cs="Arial"/>
          <w:b/>
          <w:lang w:val="cs-CZ"/>
        </w:rPr>
        <w:t xml:space="preserve"> použití </w:t>
      </w:r>
      <w:r>
        <w:rPr>
          <w:rFonts w:ascii="Arial" w:hAnsi="Arial" w:cs="Arial"/>
          <w:b/>
          <w:lang w:val="cs-CZ"/>
        </w:rPr>
        <w:t>z</w:t>
      </w:r>
      <w:r w:rsidRPr="00082545" w:rsidR="001003F6">
        <w:rPr>
          <w:rFonts w:ascii="Arial" w:hAnsi="Arial" w:cs="Arial"/>
          <w:b/>
          <w:lang w:val="cs-CZ"/>
        </w:rPr>
        <w:t>novuzískan</w:t>
      </w:r>
      <w:r w:rsidR="00D81D4C">
        <w:rPr>
          <w:rFonts w:ascii="Arial" w:hAnsi="Arial" w:cs="Arial"/>
          <w:b/>
          <w:lang w:val="cs-CZ"/>
        </w:rPr>
        <w:t>é</w:t>
      </w:r>
      <w:r w:rsidRPr="00082545" w:rsidR="001003F6">
        <w:rPr>
          <w:rFonts w:ascii="Arial" w:hAnsi="Arial" w:cs="Arial"/>
          <w:b/>
          <w:lang w:val="cs-CZ"/>
        </w:rPr>
        <w:t xml:space="preserve"> asfaltov</w:t>
      </w:r>
      <w:r w:rsidR="00D81D4C">
        <w:rPr>
          <w:rFonts w:ascii="Arial" w:hAnsi="Arial" w:cs="Arial"/>
          <w:b/>
          <w:lang w:val="cs-CZ"/>
        </w:rPr>
        <w:t>é</w:t>
      </w:r>
      <w:r w:rsidRPr="00082545" w:rsidR="001003F6">
        <w:rPr>
          <w:rFonts w:ascii="Arial" w:hAnsi="Arial" w:cs="Arial"/>
          <w:b/>
          <w:lang w:val="cs-CZ"/>
        </w:rPr>
        <w:t xml:space="preserve"> směs</w:t>
      </w:r>
      <w:r w:rsidR="00D81D4C">
        <w:rPr>
          <w:rFonts w:ascii="Arial" w:hAnsi="Arial" w:cs="Arial"/>
          <w:b/>
          <w:lang w:val="cs-CZ"/>
        </w:rPr>
        <w:t>i</w:t>
      </w:r>
      <w:r w:rsidRPr="00082545" w:rsidR="001003F6">
        <w:rPr>
          <w:rFonts w:ascii="Arial" w:hAnsi="Arial" w:cs="Arial"/>
          <w:b/>
          <w:lang w:val="cs-CZ"/>
        </w:rPr>
        <w:t xml:space="preserve"> </w:t>
      </w:r>
      <w:r w:rsidR="001003F6">
        <w:rPr>
          <w:rFonts w:ascii="Arial" w:hAnsi="Arial" w:cs="Arial"/>
          <w:b/>
          <w:lang w:val="cs-CZ"/>
        </w:rPr>
        <w:t>jakostní</w:t>
      </w:r>
      <w:r w:rsidR="008A34B6">
        <w:rPr>
          <w:rFonts w:ascii="Arial" w:hAnsi="Arial" w:cs="Arial"/>
          <w:b/>
          <w:lang w:val="cs-CZ"/>
        </w:rPr>
        <w:t xml:space="preserve"> třídy ZAS-</w:t>
      </w:r>
      <w:r w:rsidRPr="00082545" w:rsidR="001003F6">
        <w:rPr>
          <w:rFonts w:ascii="Arial" w:hAnsi="Arial" w:cs="Arial"/>
          <w:b/>
          <w:lang w:val="cs-CZ"/>
        </w:rPr>
        <w:t>T</w:t>
      </w:r>
      <w:r w:rsidR="001003F6">
        <w:rPr>
          <w:rFonts w:ascii="Arial" w:hAnsi="Arial" w:cs="Arial"/>
          <w:b/>
          <w:lang w:val="cs-CZ"/>
        </w:rPr>
        <w:t>3</w:t>
      </w:r>
      <w:r w:rsidR="008A34B6">
        <w:rPr>
          <w:rFonts w:ascii="Arial" w:hAnsi="Arial" w:cs="Arial"/>
          <w:b/>
          <w:lang w:val="cs-CZ"/>
        </w:rPr>
        <w:t xml:space="preserve"> nebo ZAS-</w:t>
      </w:r>
      <w:r w:rsidRPr="00082545" w:rsidR="001003F6">
        <w:rPr>
          <w:rFonts w:ascii="Arial" w:hAnsi="Arial" w:cs="Arial"/>
          <w:b/>
          <w:lang w:val="cs-CZ"/>
        </w:rPr>
        <w:t>T</w:t>
      </w:r>
      <w:r w:rsidR="001003F6">
        <w:rPr>
          <w:rFonts w:ascii="Arial" w:hAnsi="Arial" w:cs="Arial"/>
          <w:b/>
          <w:lang w:val="cs-CZ"/>
        </w:rPr>
        <w:t>4</w:t>
      </w:r>
    </w:p>
    <w:p w:rsidR="00087744" w:rsidRPr="00082545" w:rsidP="00087744">
      <w:pPr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jc w:val="both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ab/>
      </w:r>
      <w:r w:rsidRPr="00E331F0">
        <w:rPr>
          <w:rFonts w:ascii="Arial" w:hAnsi="Arial" w:cs="Arial"/>
          <w:lang w:val="cs-CZ"/>
        </w:rPr>
        <w:t xml:space="preserve">Znovuzískaná asfaltová směs </w:t>
      </w:r>
      <w:r w:rsidR="008A34B6">
        <w:rPr>
          <w:rFonts w:ascii="Arial" w:hAnsi="Arial" w:cs="Arial"/>
          <w:lang w:val="cs-CZ"/>
        </w:rPr>
        <w:t>jakostní třídy ZAS-</w:t>
      </w:r>
      <w:r w:rsidRPr="001003F6" w:rsidR="001003F6">
        <w:rPr>
          <w:rFonts w:ascii="Arial" w:hAnsi="Arial" w:cs="Arial"/>
          <w:lang w:val="cs-CZ"/>
        </w:rPr>
        <w:t>T3 nebo ZAS</w:t>
      </w:r>
      <w:r w:rsidR="008A34B6">
        <w:rPr>
          <w:rFonts w:ascii="Arial" w:hAnsi="Arial" w:cs="Arial"/>
          <w:lang w:val="cs-CZ"/>
        </w:rPr>
        <w:t>-</w:t>
      </w:r>
      <w:r w:rsidRPr="001003F6" w:rsidR="001003F6">
        <w:rPr>
          <w:rFonts w:ascii="Arial" w:hAnsi="Arial" w:cs="Arial"/>
          <w:lang w:val="cs-CZ"/>
        </w:rPr>
        <w:t>T4</w:t>
      </w:r>
      <w:r w:rsidR="001003F6">
        <w:rPr>
          <w:rFonts w:ascii="Arial" w:hAnsi="Arial" w:cs="Arial"/>
          <w:lang w:val="cs-CZ"/>
        </w:rPr>
        <w:t xml:space="preserve"> </w:t>
      </w:r>
      <w:r w:rsidRPr="00E331F0">
        <w:rPr>
          <w:rFonts w:ascii="Arial" w:hAnsi="Arial" w:cs="Arial"/>
          <w:lang w:val="cs-CZ"/>
        </w:rPr>
        <w:t xml:space="preserve">se nestává odpadem, ale je vedlejším produktem, pokud se použije v technologii recyklace za studena na místě, a to při použití asfaltového pojiva v podobě asfaltové emulze nebo zpěněného asfaltu samostatně nebo v kombinaci s vhodným hydraulickým pojivem. Použití pouze hydraulického pojiva není </w:t>
      </w:r>
      <w:r w:rsidR="003B4813">
        <w:rPr>
          <w:rFonts w:ascii="Arial" w:hAnsi="Arial" w:cs="Arial"/>
          <w:lang w:val="cs-CZ"/>
        </w:rPr>
        <w:t xml:space="preserve">v takových případech </w:t>
      </w:r>
      <w:r w:rsidRPr="00E331F0">
        <w:rPr>
          <w:rFonts w:ascii="Arial" w:hAnsi="Arial" w:cs="Arial"/>
          <w:lang w:val="cs-CZ"/>
        </w:rPr>
        <w:t>přípustné.</w:t>
      </w:r>
    </w:p>
    <w:p w:rsidR="00087744" w:rsidRPr="00082545" w:rsidP="00087744">
      <w:pPr>
        <w:jc w:val="both"/>
        <w:rPr>
          <w:rFonts w:ascii="Arial" w:hAnsi="Arial" w:cs="Arial"/>
          <w:lang w:val="cs-CZ"/>
        </w:rPr>
      </w:pPr>
    </w:p>
    <w:p w:rsidR="00087744" w:rsidRPr="00082545" w:rsidP="00087744">
      <w:pPr>
        <w:jc w:val="center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>§ 6</w:t>
      </w:r>
    </w:p>
    <w:p w:rsidR="00087744" w:rsidRPr="00082545" w:rsidP="00087744">
      <w:pPr>
        <w:jc w:val="center"/>
        <w:rPr>
          <w:rFonts w:ascii="Arial" w:hAnsi="Arial" w:cs="Arial"/>
          <w:lang w:val="cs-CZ"/>
        </w:rPr>
      </w:pPr>
    </w:p>
    <w:p w:rsidR="00087744" w:rsidRPr="00082545" w:rsidP="00087744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Kritéria pro</w:t>
      </w:r>
      <w:r w:rsidR="00E71D46">
        <w:rPr>
          <w:rFonts w:ascii="Arial" w:hAnsi="Arial" w:cs="Arial"/>
          <w:b/>
          <w:lang w:val="cs-CZ"/>
        </w:rPr>
        <w:t xml:space="preserve"> </w:t>
      </w:r>
      <w:r w:rsidR="000E15F8">
        <w:rPr>
          <w:rFonts w:ascii="Arial" w:hAnsi="Arial" w:cs="Arial"/>
          <w:b/>
          <w:lang w:val="cs-CZ"/>
        </w:rPr>
        <w:t>a</w:t>
      </w:r>
      <w:r w:rsidRPr="00082545">
        <w:rPr>
          <w:rFonts w:ascii="Arial" w:hAnsi="Arial" w:cs="Arial"/>
          <w:b/>
          <w:lang w:val="cs-CZ"/>
        </w:rPr>
        <w:t>sfaltov</w:t>
      </w:r>
      <w:r w:rsidR="007207AD">
        <w:rPr>
          <w:rFonts w:ascii="Arial" w:hAnsi="Arial" w:cs="Arial"/>
          <w:b/>
          <w:lang w:val="cs-CZ"/>
        </w:rPr>
        <w:t>ou</w:t>
      </w:r>
      <w:r w:rsidRPr="00082545">
        <w:rPr>
          <w:rFonts w:ascii="Arial" w:hAnsi="Arial" w:cs="Arial"/>
          <w:b/>
          <w:lang w:val="cs-CZ"/>
        </w:rPr>
        <w:t xml:space="preserve"> směs vyroben</w:t>
      </w:r>
      <w:r w:rsidR="007207AD">
        <w:rPr>
          <w:rFonts w:ascii="Arial" w:hAnsi="Arial" w:cs="Arial"/>
          <w:b/>
          <w:lang w:val="cs-CZ"/>
        </w:rPr>
        <w:t>ou</w:t>
      </w:r>
      <w:r w:rsidR="00E71D46">
        <w:rPr>
          <w:rFonts w:ascii="Arial" w:hAnsi="Arial" w:cs="Arial"/>
          <w:b/>
          <w:lang w:val="cs-CZ"/>
        </w:rPr>
        <w:t xml:space="preserve"> </w:t>
      </w:r>
      <w:r w:rsidRPr="00082545">
        <w:rPr>
          <w:rFonts w:ascii="Arial" w:hAnsi="Arial" w:cs="Arial"/>
          <w:b/>
          <w:lang w:val="cs-CZ"/>
        </w:rPr>
        <w:t xml:space="preserve">z </w:t>
      </w:r>
      <w:r w:rsidR="00BA1F37">
        <w:rPr>
          <w:rFonts w:ascii="Arial" w:hAnsi="Arial" w:cs="Arial"/>
          <w:b/>
          <w:lang w:val="cs-CZ"/>
        </w:rPr>
        <w:t xml:space="preserve">odpadní </w:t>
      </w:r>
      <w:r w:rsidRPr="00082545">
        <w:rPr>
          <w:rFonts w:ascii="Arial" w:hAnsi="Arial" w:cs="Arial"/>
          <w:b/>
          <w:lang w:val="cs-CZ"/>
        </w:rPr>
        <w:t>znovuzískané asfaltové směsi</w:t>
      </w:r>
    </w:p>
    <w:p w:rsidR="00087744" w:rsidRPr="00082545" w:rsidP="00087744">
      <w:pPr>
        <w:jc w:val="center"/>
        <w:rPr>
          <w:rFonts w:ascii="Arial" w:hAnsi="Arial" w:cs="Arial"/>
          <w:b/>
          <w:lang w:val="cs-CZ"/>
        </w:rPr>
      </w:pPr>
    </w:p>
    <w:p w:rsidR="00087744" w:rsidRPr="00E331F0" w:rsidP="00087744">
      <w:pPr>
        <w:spacing w:before="120"/>
        <w:jc w:val="both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ab/>
      </w:r>
      <w:r w:rsidRPr="00E331F0">
        <w:rPr>
          <w:rFonts w:ascii="Arial" w:hAnsi="Arial" w:cs="Arial"/>
          <w:lang w:val="cs-CZ"/>
        </w:rPr>
        <w:t>Asfaltová směs vyrobená z odpadní znovuzískané asfaltové směsi přestává být odpadem, pokud</w:t>
      </w:r>
    </w:p>
    <w:p w:rsidR="00BA1F37" w:rsidP="00087744">
      <w:pPr>
        <w:spacing w:before="120"/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 xml:space="preserve">a) </w:t>
      </w:r>
      <w:r>
        <w:rPr>
          <w:rFonts w:ascii="Arial" w:hAnsi="Arial" w:cs="Arial"/>
          <w:lang w:val="cs-CZ"/>
        </w:rPr>
        <w:t xml:space="preserve">je vyrobena </w:t>
      </w:r>
      <w:r w:rsidRPr="00E331F0"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> </w:t>
      </w:r>
      <w:r w:rsidRPr="00E331F0">
        <w:rPr>
          <w:rFonts w:ascii="Arial" w:hAnsi="Arial" w:cs="Arial"/>
          <w:lang w:val="cs-CZ"/>
        </w:rPr>
        <w:t>obalovně</w:t>
      </w:r>
      <w:r>
        <w:rPr>
          <w:rFonts w:ascii="Arial" w:hAnsi="Arial" w:cs="Arial"/>
          <w:lang w:val="cs-CZ"/>
        </w:rPr>
        <w:t xml:space="preserve"> živičných směsí</w:t>
      </w:r>
      <w:r w:rsidR="0089269A">
        <w:rPr>
          <w:rFonts w:ascii="Arial" w:hAnsi="Arial" w:cs="Arial"/>
          <w:lang w:val="cs-CZ"/>
        </w:rPr>
        <w:t xml:space="preserve">, která je zařízením provozovaným </w:t>
      </w:r>
      <w:r w:rsidRPr="00E331F0">
        <w:rPr>
          <w:rFonts w:ascii="Arial" w:hAnsi="Arial" w:cs="Arial"/>
          <w:lang w:val="cs-CZ"/>
        </w:rPr>
        <w:t>na základě souhlasu podle § 14 odst. 1 zákona</w:t>
      </w:r>
      <w:r>
        <w:rPr>
          <w:rFonts w:ascii="Arial" w:hAnsi="Arial" w:cs="Arial"/>
          <w:lang w:val="cs-CZ"/>
        </w:rPr>
        <w:t>,</w:t>
      </w:r>
    </w:p>
    <w:p w:rsidR="00087744" w:rsidRPr="00E331F0" w:rsidP="00087744">
      <w:pPr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b) </w:t>
      </w:r>
      <w:r w:rsidRPr="00E331F0">
        <w:rPr>
          <w:rFonts w:ascii="Arial" w:hAnsi="Arial" w:cs="Arial"/>
          <w:lang w:val="cs-CZ"/>
        </w:rPr>
        <w:t>vstupní znovuzískaná asfaltová směs není znečištěna jinými látkami</w:t>
      </w:r>
      <w:r w:rsidR="000A6D10">
        <w:rPr>
          <w:rFonts w:ascii="Arial" w:hAnsi="Arial" w:cs="Arial"/>
          <w:lang w:val="cs-CZ"/>
        </w:rPr>
        <w:t xml:space="preserve"> než těmi</w:t>
      </w:r>
      <w:r w:rsidRPr="00E331F0">
        <w:rPr>
          <w:rFonts w:ascii="Arial" w:hAnsi="Arial" w:cs="Arial"/>
          <w:lang w:val="cs-CZ"/>
        </w:rPr>
        <w:t>, které se používají k její výrobě,</w:t>
      </w:r>
    </w:p>
    <w:p w:rsidR="00087744" w:rsidRPr="00E331F0" w:rsidP="00087744">
      <w:pPr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c</w:t>
      </w:r>
      <w:r w:rsidRPr="00E331F0"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 xml:space="preserve">celkový </w:t>
      </w:r>
      <w:r w:rsidRPr="00E331F0">
        <w:rPr>
          <w:rFonts w:ascii="Arial" w:hAnsi="Arial" w:cs="Arial"/>
          <w:lang w:val="cs-CZ"/>
        </w:rPr>
        <w:t xml:space="preserve">obsah </w:t>
      </w:r>
      <w:r>
        <w:rPr>
          <w:rFonts w:ascii="Arial" w:hAnsi="Arial" w:cs="Arial"/>
          <w:lang w:val="cs-CZ"/>
        </w:rPr>
        <w:t>polyaromatických</w:t>
      </w:r>
      <w:r>
        <w:rPr>
          <w:rFonts w:ascii="Arial" w:hAnsi="Arial" w:cs="Arial"/>
          <w:lang w:val="cs-CZ"/>
        </w:rPr>
        <w:t xml:space="preserve"> uhlovodíků</w:t>
      </w:r>
      <w:r w:rsidRPr="00E331F0">
        <w:rPr>
          <w:rFonts w:ascii="Arial" w:hAnsi="Arial" w:cs="Arial"/>
          <w:lang w:val="cs-CZ"/>
        </w:rPr>
        <w:t xml:space="preserve"> ve vstupní znovuzískané asfaltové směsi odpovídá nejvýše</w:t>
      </w:r>
      <w:r w:rsidR="000A6D10">
        <w:rPr>
          <w:rFonts w:ascii="Arial" w:hAnsi="Arial" w:cs="Arial"/>
          <w:lang w:val="cs-CZ"/>
        </w:rPr>
        <w:t xml:space="preserve"> hodnotám v</w:t>
      </w:r>
      <w:r w:rsidR="008A34B6">
        <w:rPr>
          <w:rFonts w:ascii="Arial" w:hAnsi="Arial" w:cs="Arial"/>
          <w:lang w:val="cs-CZ"/>
        </w:rPr>
        <w:t xml:space="preserve"> jakostní třídě ZAS-</w:t>
      </w:r>
      <w:r w:rsidRPr="00E331F0">
        <w:rPr>
          <w:rFonts w:ascii="Arial" w:hAnsi="Arial" w:cs="Arial"/>
          <w:lang w:val="cs-CZ"/>
        </w:rPr>
        <w:t>T3,</w:t>
      </w:r>
    </w:p>
    <w:p w:rsidR="00087744" w:rsidRPr="00E331F0" w:rsidP="00087744">
      <w:pPr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</w:t>
      </w:r>
      <w:r w:rsidRPr="00E331F0"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 xml:space="preserve">celkový </w:t>
      </w:r>
      <w:r w:rsidRPr="00E331F0">
        <w:rPr>
          <w:rFonts w:ascii="Arial" w:hAnsi="Arial" w:cs="Arial"/>
          <w:lang w:val="cs-CZ"/>
        </w:rPr>
        <w:t xml:space="preserve">obsah </w:t>
      </w:r>
      <w:r>
        <w:rPr>
          <w:rFonts w:ascii="Arial" w:hAnsi="Arial" w:cs="Arial"/>
          <w:lang w:val="cs-CZ"/>
        </w:rPr>
        <w:t>polyaromatických</w:t>
      </w:r>
      <w:r>
        <w:rPr>
          <w:rFonts w:ascii="Arial" w:hAnsi="Arial" w:cs="Arial"/>
          <w:lang w:val="cs-CZ"/>
        </w:rPr>
        <w:t xml:space="preserve"> uhlovodíků</w:t>
      </w:r>
      <w:r w:rsidRPr="00E331F0">
        <w:rPr>
          <w:rFonts w:ascii="Arial" w:hAnsi="Arial" w:cs="Arial"/>
          <w:lang w:val="cs-CZ"/>
        </w:rPr>
        <w:t xml:space="preserve"> </w:t>
      </w:r>
      <w:r w:rsidR="0089269A">
        <w:rPr>
          <w:rFonts w:ascii="Arial" w:hAnsi="Arial" w:cs="Arial"/>
          <w:lang w:val="cs-CZ"/>
        </w:rPr>
        <w:t xml:space="preserve">v rozsahu </w:t>
      </w:r>
      <w:r w:rsidRPr="00E331F0" w:rsidR="0089269A">
        <w:rPr>
          <w:rFonts w:ascii="Arial" w:hAnsi="Arial" w:cs="Arial"/>
          <w:bCs/>
          <w:lang w:val="cs-CZ"/>
        </w:rPr>
        <w:t>podle tabulky č. 2 přílohy č. 1 k této vyhlášce</w:t>
      </w:r>
      <w:r w:rsidRPr="00E331F0" w:rsidR="0089269A">
        <w:rPr>
          <w:rFonts w:ascii="Arial" w:hAnsi="Arial" w:cs="Arial"/>
          <w:lang w:val="cs-CZ"/>
        </w:rPr>
        <w:t xml:space="preserve"> </w:t>
      </w:r>
      <w:r w:rsidRPr="00E331F0">
        <w:rPr>
          <w:rFonts w:ascii="Arial" w:hAnsi="Arial" w:cs="Arial"/>
          <w:lang w:val="cs-CZ"/>
        </w:rPr>
        <w:t xml:space="preserve">ve vyrobené asfaltové směsi nepřekročí hodnotu </w:t>
      </w:r>
      <w:r>
        <w:rPr>
          <w:rFonts w:ascii="Arial" w:hAnsi="Arial" w:cs="Arial"/>
          <w:lang w:val="cs-CZ"/>
        </w:rPr>
        <w:t xml:space="preserve">25 </w:t>
      </w:r>
      <w:r w:rsidRPr="00E331F0">
        <w:rPr>
          <w:rFonts w:ascii="Arial" w:hAnsi="Arial" w:cs="Arial"/>
          <w:lang w:val="cs-CZ"/>
        </w:rPr>
        <w:t xml:space="preserve">mg/kg </w:t>
      </w:r>
      <w:r>
        <w:rPr>
          <w:rFonts w:ascii="Arial" w:hAnsi="Arial" w:cs="Arial"/>
          <w:lang w:val="cs-CZ"/>
        </w:rPr>
        <w:t>v</w:t>
      </w:r>
      <w:r w:rsidR="0089269A">
        <w:rPr>
          <w:rFonts w:ascii="Arial" w:hAnsi="Arial" w:cs="Arial"/>
          <w:lang w:val="cs-CZ"/>
        </w:rPr>
        <w:t> sušině, a</w:t>
      </w:r>
      <w:r>
        <w:rPr>
          <w:rFonts w:ascii="Arial" w:hAnsi="Arial" w:cs="Arial"/>
          <w:lang w:val="cs-CZ"/>
        </w:rPr>
        <w:t xml:space="preserve"> </w:t>
      </w:r>
    </w:p>
    <w:p w:rsidR="00087744" w:rsidP="00087744">
      <w:pPr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e</w:t>
      </w:r>
      <w:r w:rsidRPr="00E331F0">
        <w:rPr>
          <w:rFonts w:ascii="Arial" w:hAnsi="Arial" w:cs="Arial"/>
          <w:lang w:val="cs-CZ"/>
        </w:rPr>
        <w:t xml:space="preserve">) splnění podmínky uvedené v písmeni </w:t>
      </w:r>
      <w:r w:rsidR="00BA1F37">
        <w:rPr>
          <w:rFonts w:ascii="Arial" w:hAnsi="Arial" w:cs="Arial"/>
          <w:lang w:val="cs-CZ"/>
        </w:rPr>
        <w:t>d</w:t>
      </w:r>
      <w:r w:rsidRPr="00E331F0">
        <w:rPr>
          <w:rFonts w:ascii="Arial" w:hAnsi="Arial" w:cs="Arial"/>
          <w:lang w:val="cs-CZ"/>
        </w:rPr>
        <w:t xml:space="preserve">) je </w:t>
      </w:r>
      <w:r w:rsidR="001003F6">
        <w:rPr>
          <w:rFonts w:ascii="Arial" w:hAnsi="Arial" w:cs="Arial"/>
          <w:lang w:val="cs-CZ"/>
        </w:rPr>
        <w:t xml:space="preserve">prokázáno způsobem vymezeným </w:t>
      </w:r>
      <w:r w:rsidRPr="00E331F0">
        <w:rPr>
          <w:rFonts w:ascii="Arial" w:hAnsi="Arial" w:cs="Arial"/>
          <w:lang w:val="cs-CZ"/>
        </w:rPr>
        <w:t>v provozním řádu zařízení</w:t>
      </w:r>
      <w:r>
        <w:rPr>
          <w:rFonts w:ascii="Arial" w:hAnsi="Arial" w:cs="Arial"/>
          <w:lang w:val="cs-CZ"/>
        </w:rPr>
        <w:t>.</w:t>
      </w:r>
    </w:p>
    <w:p w:rsidR="007062AD" w:rsidRPr="00E331F0" w:rsidP="00087744">
      <w:pPr>
        <w:spacing w:before="120"/>
        <w:jc w:val="both"/>
        <w:rPr>
          <w:rFonts w:ascii="Arial" w:hAnsi="Arial" w:cs="Arial"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>§ 7</w:t>
      </w: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Odběr vzorků</w:t>
      </w:r>
    </w:p>
    <w:p w:rsidR="00087744" w:rsidRPr="000825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val="cs-CZ"/>
        </w:rPr>
      </w:pPr>
    </w:p>
    <w:p w:rsidR="00087744" w:rsidRPr="00E331F0" w:rsidP="0008774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val="cs-CZ"/>
        </w:rPr>
      </w:pPr>
      <w:r w:rsidRPr="00E331F0">
        <w:rPr>
          <w:rFonts w:ascii="Arial" w:hAnsi="Arial" w:cs="Arial"/>
          <w:bCs/>
          <w:lang w:val="cs-CZ"/>
        </w:rPr>
        <w:t xml:space="preserve">(1) Odběr vzorků může provádět pouze </w:t>
      </w:r>
      <w:r w:rsidRPr="00E331F0">
        <w:rPr>
          <w:rFonts w:ascii="Times New Roman" w:eastAsia="Times New Roman" w:hAnsi="Times New Roman" w:cs="Times New Roman"/>
          <w:lang w:val="cs-CZ" w:eastAsia="cs-CZ"/>
        </w:rPr>
        <w:t xml:space="preserve"> </w:t>
      </w:r>
    </w:p>
    <w:p w:rsidR="00087744" w:rsidRPr="00E331F0" w:rsidP="00087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lang w:val="cs-CZ"/>
        </w:rPr>
      </w:pPr>
      <w:r w:rsidRPr="00E331F0">
        <w:rPr>
          <w:rFonts w:ascii="Arial" w:hAnsi="Arial" w:cs="Arial"/>
          <w:bCs/>
          <w:lang w:val="cs-CZ"/>
        </w:rPr>
        <w:t>a) odborně způsobilá fyzická osoba s personálním certifikátem pro vzorkování odpadu,</w:t>
      </w:r>
      <w:r w:rsidR="00BF65DF">
        <w:rPr>
          <w:rFonts w:ascii="Arial" w:hAnsi="Arial" w:cs="Arial"/>
          <w:bCs/>
          <w:lang w:val="cs-CZ"/>
        </w:rPr>
        <w:t xml:space="preserve"> </w:t>
      </w:r>
      <w:r w:rsidRPr="00E331F0" w:rsidR="00BF65DF">
        <w:rPr>
          <w:rFonts w:ascii="Arial" w:hAnsi="Arial" w:cs="Arial"/>
          <w:bCs/>
          <w:lang w:val="cs-CZ"/>
        </w:rPr>
        <w:t xml:space="preserve">vydaným </w:t>
      </w:r>
      <w:r w:rsidRPr="00E331F0" w:rsidR="00AF6095">
        <w:rPr>
          <w:rFonts w:ascii="Arial" w:hAnsi="Arial" w:cs="Arial"/>
          <w:bCs/>
          <w:lang w:val="cs-CZ"/>
        </w:rPr>
        <w:t>akreditovaným</w:t>
      </w:r>
      <w:r>
        <w:rPr>
          <w:rFonts w:ascii="Arial" w:hAnsi="Arial" w:cs="Arial"/>
          <w:bCs/>
          <w:vertAlign w:val="superscript"/>
          <w:lang w:val="cs-CZ"/>
        </w:rPr>
        <w:footnoteReference w:id="4"/>
      </w:r>
      <w:r w:rsidRPr="00E331F0" w:rsidR="00AF6095">
        <w:rPr>
          <w:rFonts w:ascii="Arial" w:hAnsi="Arial" w:cs="Arial"/>
          <w:bCs/>
          <w:vertAlign w:val="superscript"/>
          <w:lang w:val="cs-CZ"/>
        </w:rPr>
        <w:t>)</w:t>
      </w:r>
      <w:r w:rsidRPr="00E331F0" w:rsidR="00AF6095">
        <w:rPr>
          <w:rFonts w:ascii="Arial" w:hAnsi="Arial" w:cs="Arial"/>
          <w:bCs/>
          <w:lang w:val="cs-CZ"/>
        </w:rPr>
        <w:t xml:space="preserve"> </w:t>
      </w:r>
      <w:r w:rsidRPr="00E331F0" w:rsidR="00BF65DF">
        <w:rPr>
          <w:rFonts w:ascii="Arial" w:hAnsi="Arial" w:cs="Arial"/>
          <w:bCs/>
          <w:lang w:val="cs-CZ"/>
        </w:rPr>
        <w:t>certifikačním orgánem</w:t>
      </w:r>
      <w:r w:rsidR="00AF6095">
        <w:rPr>
          <w:rFonts w:ascii="Arial" w:hAnsi="Arial" w:cs="Arial"/>
          <w:bCs/>
          <w:lang w:val="cs-CZ"/>
        </w:rPr>
        <w:t>,</w:t>
      </w:r>
      <w:r w:rsidR="00A14E36">
        <w:rPr>
          <w:rFonts w:ascii="Arial" w:hAnsi="Arial" w:cs="Arial"/>
          <w:bCs/>
          <w:lang w:val="cs-CZ"/>
        </w:rPr>
        <w:t xml:space="preserve"> nebo</w:t>
      </w:r>
    </w:p>
    <w:p w:rsidR="00A14E36" w:rsidP="00C3336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lang w:val="cs-CZ"/>
        </w:rPr>
      </w:pPr>
      <w:r w:rsidRPr="00E331F0">
        <w:rPr>
          <w:rFonts w:ascii="Arial" w:hAnsi="Arial" w:cs="Arial"/>
          <w:bCs/>
          <w:lang w:val="cs-CZ"/>
        </w:rPr>
        <w:t xml:space="preserve">b) </w:t>
      </w:r>
      <w:r w:rsidR="005A4366">
        <w:rPr>
          <w:rFonts w:ascii="Arial" w:hAnsi="Arial" w:cs="Arial"/>
          <w:bCs/>
          <w:lang w:val="cs-CZ"/>
        </w:rPr>
        <w:t>fyzická osoba, která byla před odběrem prokazatelně proškolena odborně způsobilou osobou</w:t>
      </w:r>
      <w:r>
        <w:rPr>
          <w:rFonts w:ascii="Arial" w:hAnsi="Arial" w:cs="Arial"/>
          <w:bCs/>
          <w:lang w:val="cs-CZ"/>
        </w:rPr>
        <w:t>.</w:t>
      </w:r>
    </w:p>
    <w:p w:rsidR="005A4366" w:rsidRPr="00E331F0" w:rsidP="00A14E36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(2) V případě, že odběr vzorků provádí osoba podle odstavce 1 písm. b), zpracuje</w:t>
      </w:r>
      <w:r>
        <w:rPr>
          <w:rFonts w:ascii="Arial" w:hAnsi="Arial" w:cs="Arial"/>
          <w:bCs/>
          <w:lang w:val="cs-CZ"/>
        </w:rPr>
        <w:t xml:space="preserve"> o</w:t>
      </w:r>
      <w:r>
        <w:rPr>
          <w:rFonts w:ascii="Arial" w:hAnsi="Arial" w:cs="Arial"/>
          <w:bCs/>
          <w:lang w:val="cs-CZ"/>
        </w:rPr>
        <w:t xml:space="preserve">dborně způsobilá osoba </w:t>
      </w:r>
      <w:r>
        <w:rPr>
          <w:rFonts w:ascii="Arial" w:hAnsi="Arial" w:cs="Arial"/>
          <w:bCs/>
          <w:lang w:val="cs-CZ"/>
        </w:rPr>
        <w:t>plán odběru vzorků a odp</w:t>
      </w:r>
      <w:r>
        <w:rPr>
          <w:rFonts w:ascii="Arial" w:hAnsi="Arial" w:cs="Arial"/>
          <w:bCs/>
          <w:lang w:val="cs-CZ"/>
        </w:rPr>
        <w:t>ovídá za správnost odběru.</w:t>
      </w:r>
      <w:r w:rsidR="00F43B9B">
        <w:rPr>
          <w:rFonts w:ascii="Arial" w:hAnsi="Arial" w:cs="Arial"/>
          <w:bCs/>
          <w:lang w:val="cs-CZ"/>
        </w:rPr>
        <w:t xml:space="preserve"> </w:t>
      </w:r>
      <w:r>
        <w:rPr>
          <w:rFonts w:ascii="Arial" w:hAnsi="Arial" w:cs="Arial"/>
          <w:bCs/>
          <w:lang w:val="cs-CZ"/>
        </w:rPr>
        <w:t>O</w:t>
      </w:r>
      <w:r w:rsidR="00E946C8">
        <w:rPr>
          <w:rFonts w:ascii="Arial" w:hAnsi="Arial" w:cs="Arial"/>
          <w:bCs/>
          <w:lang w:val="cs-CZ"/>
        </w:rPr>
        <w:t>d p</w:t>
      </w:r>
      <w:r w:rsidR="00F43B9B">
        <w:rPr>
          <w:rFonts w:ascii="Arial" w:hAnsi="Arial" w:cs="Arial"/>
          <w:bCs/>
          <w:lang w:val="cs-CZ"/>
        </w:rPr>
        <w:t xml:space="preserve">roškolení </w:t>
      </w:r>
      <w:r w:rsidR="0080612A">
        <w:rPr>
          <w:rFonts w:ascii="Arial" w:hAnsi="Arial" w:cs="Arial"/>
          <w:bCs/>
          <w:lang w:val="cs-CZ"/>
        </w:rPr>
        <w:t xml:space="preserve">podle odstavce 1 písm. b) </w:t>
      </w:r>
      <w:r w:rsidR="00F43B9B">
        <w:rPr>
          <w:rFonts w:ascii="Arial" w:hAnsi="Arial" w:cs="Arial"/>
          <w:bCs/>
          <w:lang w:val="cs-CZ"/>
        </w:rPr>
        <w:t xml:space="preserve">nesmí v době odběru vzorků </w:t>
      </w:r>
      <w:r w:rsidR="00E946C8">
        <w:rPr>
          <w:rFonts w:ascii="Arial" w:hAnsi="Arial" w:cs="Arial"/>
          <w:bCs/>
          <w:lang w:val="cs-CZ"/>
        </w:rPr>
        <w:t>uplynout déle</w:t>
      </w:r>
      <w:r w:rsidR="00F43B9B">
        <w:rPr>
          <w:rFonts w:ascii="Arial" w:hAnsi="Arial" w:cs="Arial"/>
          <w:bCs/>
          <w:lang w:val="cs-CZ"/>
        </w:rPr>
        <w:t xml:space="preserve"> než jeden rok.</w:t>
      </w:r>
    </w:p>
    <w:p w:rsidR="00087744" w:rsidRPr="0008254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val="cs-CZ"/>
        </w:rPr>
      </w:pPr>
      <w:r w:rsidRPr="00082545">
        <w:rPr>
          <w:rFonts w:ascii="Arial" w:hAnsi="Arial" w:cs="Arial"/>
          <w:bCs/>
          <w:lang w:val="cs-CZ"/>
        </w:rPr>
        <w:t>§ 8</w:t>
      </w: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  <w:r w:rsidRPr="00082545">
        <w:rPr>
          <w:rFonts w:ascii="Arial" w:hAnsi="Arial" w:cs="Arial"/>
          <w:b/>
          <w:bCs/>
          <w:lang w:val="cs-CZ"/>
        </w:rPr>
        <w:t>Provádění vzorkování</w:t>
      </w:r>
    </w:p>
    <w:p w:rsidR="00087744" w:rsidRPr="0008254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s-CZ"/>
        </w:rPr>
      </w:pPr>
    </w:p>
    <w:p w:rsidR="00C3336A" w:rsidP="00C3336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(1) Vzorkování může provádět pouze</w:t>
      </w:r>
    </w:p>
    <w:p w:rsidR="00C3336A" w:rsidRPr="00E331F0" w:rsidP="00C3336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lang w:val="cs-CZ"/>
        </w:rPr>
      </w:pPr>
      <w:r w:rsidRPr="00E331F0">
        <w:rPr>
          <w:rFonts w:ascii="Arial" w:hAnsi="Arial" w:cs="Arial"/>
          <w:bCs/>
          <w:lang w:val="cs-CZ"/>
        </w:rPr>
        <w:t>a) odborně způsobilá fyzická osoba s personálním certifikátem pro vzorkování odpadu,</w:t>
      </w:r>
      <w:r>
        <w:rPr>
          <w:rFonts w:ascii="Arial" w:hAnsi="Arial" w:cs="Arial"/>
          <w:bCs/>
          <w:lang w:val="cs-CZ"/>
        </w:rPr>
        <w:t xml:space="preserve"> </w:t>
      </w:r>
      <w:r w:rsidRPr="00E331F0">
        <w:rPr>
          <w:rFonts w:ascii="Arial" w:hAnsi="Arial" w:cs="Arial"/>
          <w:bCs/>
          <w:lang w:val="cs-CZ"/>
        </w:rPr>
        <w:t>vydaným akreditovaným</w:t>
      </w:r>
      <w:r w:rsidR="00670478">
        <w:rPr>
          <w:rFonts w:ascii="Arial" w:hAnsi="Arial" w:cs="Arial"/>
          <w:bCs/>
          <w:vertAlign w:val="superscript"/>
          <w:lang w:val="cs-CZ"/>
        </w:rPr>
        <w:t>3</w:t>
      </w:r>
      <w:r w:rsidRPr="00C3336A">
        <w:rPr>
          <w:rFonts w:ascii="Arial" w:hAnsi="Arial" w:cs="Arial"/>
          <w:bCs/>
          <w:vertAlign w:val="superscript"/>
          <w:lang w:val="cs-CZ"/>
        </w:rPr>
        <w:t>)</w:t>
      </w:r>
      <w:r w:rsidRPr="00E331F0">
        <w:rPr>
          <w:rFonts w:ascii="Arial" w:hAnsi="Arial" w:cs="Arial"/>
          <w:bCs/>
          <w:lang w:val="cs-CZ"/>
        </w:rPr>
        <w:t xml:space="preserve"> certifikačním orgánem</w:t>
      </w:r>
      <w:r>
        <w:rPr>
          <w:rFonts w:ascii="Arial" w:hAnsi="Arial" w:cs="Arial"/>
          <w:bCs/>
          <w:lang w:val="cs-CZ"/>
        </w:rPr>
        <w:t>,</w:t>
      </w:r>
    </w:p>
    <w:p w:rsidR="00C3336A" w:rsidRPr="00E331F0" w:rsidP="00C3336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lang w:val="cs-CZ"/>
        </w:rPr>
      </w:pPr>
      <w:r w:rsidRPr="00E331F0">
        <w:rPr>
          <w:rFonts w:ascii="Arial" w:hAnsi="Arial" w:cs="Arial"/>
          <w:bCs/>
          <w:lang w:val="cs-CZ"/>
        </w:rPr>
        <w:t>b) akreditovaná</w:t>
      </w:r>
      <w:r w:rsidRPr="00C3336A">
        <w:rPr>
          <w:rFonts w:ascii="Arial" w:hAnsi="Arial" w:cs="Arial"/>
          <w:bCs/>
          <w:vertAlign w:val="superscript"/>
          <w:lang w:val="cs-CZ"/>
        </w:rPr>
        <w:t>3)</w:t>
      </w:r>
      <w:r w:rsidRPr="00E331F0">
        <w:rPr>
          <w:rFonts w:ascii="Arial" w:hAnsi="Arial" w:cs="Arial"/>
          <w:bCs/>
          <w:lang w:val="cs-CZ"/>
        </w:rPr>
        <w:t xml:space="preserve"> zkušební laboratoř nebo akreditované</w:t>
      </w:r>
      <w:r w:rsidRPr="00C3336A">
        <w:rPr>
          <w:rFonts w:ascii="Arial" w:hAnsi="Arial" w:cs="Arial"/>
          <w:bCs/>
          <w:vertAlign w:val="superscript"/>
          <w:lang w:val="cs-CZ"/>
        </w:rPr>
        <w:t>3)</w:t>
      </w:r>
      <w:r w:rsidRPr="00E331F0">
        <w:rPr>
          <w:rFonts w:ascii="Arial" w:hAnsi="Arial" w:cs="Arial"/>
          <w:bCs/>
          <w:lang w:val="cs-CZ"/>
        </w:rPr>
        <w:t xml:space="preserve"> odborné pracoviště, jejichž způsobilost je garantována odborně způsobilou fyzickou osobou, nebo</w:t>
      </w:r>
    </w:p>
    <w:p w:rsidR="00C3336A" w:rsidRPr="00E331F0" w:rsidP="00C3336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lang w:val="cs-CZ"/>
        </w:rPr>
      </w:pPr>
      <w:r w:rsidRPr="00E331F0">
        <w:rPr>
          <w:rFonts w:ascii="Arial" w:hAnsi="Arial" w:cs="Arial"/>
          <w:bCs/>
          <w:lang w:val="cs-CZ"/>
        </w:rPr>
        <w:t xml:space="preserve">c) osoba, která je usazena v jiném členském státě Evropské unie a která je oprávněna k vzorkování odpadu v jiném členském státě Evropské unie a toto oprávnění je </w:t>
      </w:r>
      <w:r w:rsidRPr="00D13CF7">
        <w:rPr>
          <w:rFonts w:ascii="Arial" w:hAnsi="Arial" w:cs="Arial"/>
          <w:bCs/>
          <w:lang w:val="cs-CZ"/>
        </w:rPr>
        <w:t>v souladu s</w:t>
      </w:r>
      <w:r w:rsidRPr="00C3336A">
        <w:rPr>
          <w:rFonts w:ascii="Arial" w:hAnsi="Arial" w:cs="Arial"/>
          <w:bCs/>
          <w:lang w:val="cs-CZ"/>
        </w:rPr>
        <w:t xml:space="preserve"> </w:t>
      </w:r>
      <w:r w:rsidRPr="00D13CF7">
        <w:rPr>
          <w:rFonts w:ascii="Arial" w:hAnsi="Arial" w:cs="Arial"/>
          <w:bCs/>
          <w:lang w:val="cs-CZ"/>
        </w:rPr>
        <w:t xml:space="preserve">technickou normou ČSN EN 14899 Charakterizace odpadů - Vzorkování odpadů - Zásady přípravy programu vzorkování a jeho použití ze dne 1. července 2006, </w:t>
      </w:r>
      <w:r w:rsidRPr="00FA327C">
        <w:rPr>
          <w:rFonts w:ascii="Arial" w:hAnsi="Arial" w:cs="Arial"/>
          <w:bCs/>
          <w:lang w:val="cs-CZ"/>
        </w:rPr>
        <w:t>pokud na území České republiky vzorkuje odpady pouze dočasně nebo ojediněle a její způsobi</w:t>
      </w:r>
      <w:r w:rsidRPr="00E627C2">
        <w:rPr>
          <w:rFonts w:ascii="Arial" w:hAnsi="Arial" w:cs="Arial"/>
          <w:bCs/>
          <w:lang w:val="cs-CZ"/>
        </w:rPr>
        <w:t>lost je garantována odborně způsobilou fyzickou osobou</w:t>
      </w:r>
      <w:r w:rsidRPr="00E331F0">
        <w:rPr>
          <w:rFonts w:ascii="Arial" w:hAnsi="Arial" w:cs="Arial"/>
          <w:bCs/>
          <w:lang w:val="cs-CZ"/>
        </w:rPr>
        <w:t xml:space="preserve">. </w:t>
      </w:r>
    </w:p>
    <w:p w:rsidR="00C3336A">
      <w:pPr>
        <w:jc w:val="both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ab/>
      </w:r>
    </w:p>
    <w:p w:rsidR="00791896" w:rsidRPr="00E331F0" w:rsidP="000973EB">
      <w:pPr>
        <w:ind w:firstLine="708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(2</w:t>
      </w:r>
      <w:r w:rsidRPr="00E331F0" w:rsidR="00087744">
        <w:rPr>
          <w:rFonts w:ascii="Arial" w:hAnsi="Arial" w:cs="Arial"/>
          <w:lang w:val="cs-CZ"/>
        </w:rPr>
        <w:t>) Aby bylo možné pov</w:t>
      </w:r>
      <w:r w:rsidR="003A0F50">
        <w:rPr>
          <w:rFonts w:ascii="Arial" w:hAnsi="Arial" w:cs="Arial"/>
          <w:lang w:val="cs-CZ"/>
        </w:rPr>
        <w:t xml:space="preserve">ažovat znovuzískanou asfaltovou </w:t>
      </w:r>
      <w:r w:rsidRPr="00E331F0" w:rsidR="003A0F50">
        <w:rPr>
          <w:rFonts w:ascii="Arial" w:hAnsi="Arial" w:cs="Arial"/>
          <w:lang w:val="cs-CZ"/>
        </w:rPr>
        <w:t>směs</w:t>
      </w:r>
      <w:r w:rsidR="003A0F50">
        <w:rPr>
          <w:rFonts w:ascii="Arial" w:hAnsi="Arial" w:cs="Arial"/>
          <w:lang w:val="cs-CZ"/>
        </w:rPr>
        <w:t xml:space="preserve"> </w:t>
      </w:r>
      <w:r w:rsidRPr="00E331F0" w:rsidR="00087744">
        <w:rPr>
          <w:rFonts w:ascii="Arial" w:hAnsi="Arial" w:cs="Arial"/>
          <w:lang w:val="cs-CZ"/>
        </w:rPr>
        <w:t xml:space="preserve">za vedlejší produkt, musí být vzorkování a zkoušení provedeno před zahájením stavebních prací, při nichž dochází </w:t>
      </w:r>
      <w:r w:rsidR="00743F50">
        <w:rPr>
          <w:rFonts w:ascii="Arial" w:hAnsi="Arial" w:cs="Arial"/>
          <w:lang w:val="cs-CZ"/>
        </w:rPr>
        <w:t>ke znovuzískání asfaltové směsi, pokud tato vyhláška neumožňuje zařazení znovuzískané asfaltové směsi bez vzorkování.</w:t>
      </w:r>
    </w:p>
    <w:p w:rsidR="00087744" w:rsidRPr="00E331F0">
      <w:pPr>
        <w:jc w:val="both"/>
        <w:rPr>
          <w:rFonts w:ascii="Arial" w:hAnsi="Arial" w:cs="Arial"/>
          <w:lang w:val="cs-CZ"/>
        </w:rPr>
      </w:pPr>
    </w:p>
    <w:p w:rsidR="00087744" w:rsidRPr="00E331F0">
      <w:pPr>
        <w:jc w:val="both"/>
        <w:rPr>
          <w:rFonts w:ascii="Arial" w:hAnsi="Arial" w:cs="Arial"/>
          <w:lang w:val="cs-CZ"/>
        </w:rPr>
      </w:pPr>
      <w:r w:rsidRPr="005F550B">
        <w:rPr>
          <w:rFonts w:ascii="Arial" w:hAnsi="Arial" w:cs="Arial"/>
          <w:lang w:val="cs-CZ"/>
        </w:rPr>
        <w:tab/>
      </w:r>
      <w:r w:rsidRPr="00E331F0">
        <w:rPr>
          <w:rFonts w:ascii="Arial" w:hAnsi="Arial" w:cs="Arial"/>
          <w:lang w:val="cs-CZ"/>
        </w:rPr>
        <w:t>(</w:t>
      </w:r>
      <w:r w:rsidR="000973EB">
        <w:rPr>
          <w:rFonts w:ascii="Arial" w:hAnsi="Arial" w:cs="Arial"/>
          <w:lang w:val="cs-CZ"/>
        </w:rPr>
        <w:t>3</w:t>
      </w:r>
      <w:r w:rsidRPr="00E331F0">
        <w:rPr>
          <w:rFonts w:ascii="Arial" w:hAnsi="Arial" w:cs="Arial"/>
          <w:lang w:val="cs-CZ"/>
        </w:rPr>
        <w:t>) Pokud tato vyhláška nestanoví jinak, provádí se vzorkování v souladu s českou technickou normou ČSN EN 14899 Charakterizace odpadů - Vzorkování odpadů - Zásady přípravy programu vzorkování a jeho použití ze dne 1. července 2006.</w:t>
      </w:r>
    </w:p>
    <w:p w:rsidR="00087744" w:rsidRPr="0053663E" w:rsidP="00743F50">
      <w:pPr>
        <w:jc w:val="both"/>
        <w:rPr>
          <w:rFonts w:ascii="Arial" w:hAnsi="Arial" w:cs="Arial"/>
          <w:lang w:val="cs-CZ"/>
        </w:rPr>
      </w:pPr>
    </w:p>
    <w:p w:rsidR="00087744" w:rsidRPr="00E331F0">
      <w:pPr>
        <w:jc w:val="both"/>
        <w:rPr>
          <w:rFonts w:ascii="Arial" w:hAnsi="Arial" w:cs="Arial"/>
          <w:bCs/>
          <w:lang w:val="cs-CZ"/>
        </w:rPr>
      </w:pPr>
      <w:r w:rsidRPr="005F550B">
        <w:rPr>
          <w:rFonts w:ascii="Arial" w:hAnsi="Arial" w:cs="Arial"/>
          <w:lang w:val="cs-CZ"/>
        </w:rPr>
        <w:tab/>
      </w:r>
      <w:r w:rsidRPr="00E331F0">
        <w:rPr>
          <w:rFonts w:ascii="Arial" w:hAnsi="Arial" w:cs="Arial"/>
          <w:lang w:val="cs-CZ"/>
        </w:rPr>
        <w:t>(</w:t>
      </w:r>
      <w:r w:rsidR="000973EB">
        <w:rPr>
          <w:rFonts w:ascii="Arial" w:hAnsi="Arial" w:cs="Arial"/>
          <w:lang w:val="cs-CZ"/>
        </w:rPr>
        <w:t>4</w:t>
      </w:r>
      <w:r w:rsidRPr="00E331F0">
        <w:rPr>
          <w:rFonts w:ascii="Arial" w:hAnsi="Arial" w:cs="Arial"/>
          <w:lang w:val="cs-CZ"/>
        </w:rPr>
        <w:t xml:space="preserve">) </w:t>
      </w:r>
      <w:r w:rsidRPr="00E331F0">
        <w:rPr>
          <w:rFonts w:ascii="Arial" w:hAnsi="Arial" w:cs="Arial"/>
          <w:bCs/>
          <w:lang w:val="cs-CZ"/>
        </w:rPr>
        <w:t xml:space="preserve">Odběr vzorků před zahájením stavebních prací se provádí formou zkušebních vývrtů tak, aby bylo možné posoudit samostatně každou asfaltovou vrstvu, </w:t>
      </w:r>
      <w:r w:rsidRPr="00E331F0">
        <w:rPr>
          <w:rFonts w:ascii="Arial" w:hAnsi="Arial" w:cs="Arial"/>
          <w:lang w:val="cs-CZ"/>
        </w:rPr>
        <w:t>která má být v rámci stavebních prací odstraněna</w:t>
      </w:r>
      <w:r w:rsidRPr="00E331F0">
        <w:rPr>
          <w:rFonts w:ascii="Arial" w:hAnsi="Arial" w:cs="Arial"/>
          <w:bCs/>
          <w:lang w:val="cs-CZ"/>
        </w:rPr>
        <w:t xml:space="preserve">. </w:t>
      </w:r>
    </w:p>
    <w:p w:rsidR="00087744" w:rsidRPr="00E331F0">
      <w:pPr>
        <w:jc w:val="both"/>
        <w:rPr>
          <w:rFonts w:ascii="Arial" w:hAnsi="Arial" w:cs="Arial"/>
          <w:bCs/>
          <w:lang w:val="cs-CZ"/>
        </w:rPr>
      </w:pPr>
    </w:p>
    <w:p w:rsidR="00087744" w:rsidRPr="00E331F0">
      <w:pPr>
        <w:jc w:val="both"/>
        <w:rPr>
          <w:rFonts w:ascii="Arial" w:hAnsi="Arial" w:cs="Arial"/>
          <w:bCs/>
          <w:lang w:val="cs-CZ"/>
        </w:rPr>
      </w:pPr>
      <w:r w:rsidRPr="005F550B">
        <w:rPr>
          <w:rFonts w:ascii="Arial" w:hAnsi="Arial" w:cs="Arial"/>
          <w:bCs/>
          <w:lang w:val="cs-CZ"/>
        </w:rPr>
        <w:tab/>
      </w:r>
      <w:r w:rsidRPr="00E331F0">
        <w:rPr>
          <w:rFonts w:ascii="Arial" w:hAnsi="Arial" w:cs="Arial"/>
          <w:bCs/>
          <w:lang w:val="cs-CZ"/>
        </w:rPr>
        <w:t>(</w:t>
      </w:r>
      <w:r w:rsidR="000973EB">
        <w:rPr>
          <w:rFonts w:ascii="Arial" w:hAnsi="Arial" w:cs="Arial"/>
          <w:bCs/>
          <w:lang w:val="cs-CZ"/>
        </w:rPr>
        <w:t>5</w:t>
      </w:r>
      <w:r w:rsidRPr="00E331F0">
        <w:rPr>
          <w:rFonts w:ascii="Arial" w:hAnsi="Arial" w:cs="Arial"/>
          <w:bCs/>
          <w:lang w:val="cs-CZ"/>
        </w:rPr>
        <w:t xml:space="preserve">) </w:t>
      </w:r>
      <w:r w:rsidRPr="00E331F0">
        <w:rPr>
          <w:rFonts w:ascii="Arial" w:hAnsi="Arial" w:cs="Arial"/>
          <w:lang w:val="cs-CZ"/>
        </w:rPr>
        <w:t xml:space="preserve">Minimální počet odebraných vzorků ve vztahu k diagnostickým průzkumem posuzované, opravované či obnovované ploše stavby, která bude vybourávána, je </w:t>
      </w:r>
      <w:r w:rsidR="00FA327C">
        <w:rPr>
          <w:rFonts w:ascii="Arial" w:hAnsi="Arial" w:cs="Arial"/>
          <w:lang w:val="cs-CZ"/>
        </w:rPr>
        <w:t>stanoven</w:t>
      </w:r>
      <w:r w:rsidRPr="00E331F0" w:rsidR="00FA327C">
        <w:rPr>
          <w:rFonts w:ascii="Arial" w:hAnsi="Arial" w:cs="Arial"/>
          <w:lang w:val="cs-CZ"/>
        </w:rPr>
        <w:t xml:space="preserve"> </w:t>
      </w:r>
      <w:r w:rsidRPr="00E331F0">
        <w:rPr>
          <w:rFonts w:ascii="Arial" w:hAnsi="Arial" w:cs="Arial"/>
          <w:bCs/>
          <w:lang w:val="cs-CZ"/>
        </w:rPr>
        <w:t>v tabulce č. 1 přílohy č. 2 k této vyhlášce.</w:t>
      </w:r>
    </w:p>
    <w:p w:rsidR="00087744" w:rsidRPr="00E331F0">
      <w:pPr>
        <w:jc w:val="both"/>
        <w:rPr>
          <w:rFonts w:ascii="Arial" w:hAnsi="Arial" w:cs="Arial"/>
          <w:bCs/>
          <w:lang w:val="cs-CZ"/>
        </w:rPr>
      </w:pPr>
    </w:p>
    <w:p w:rsidR="00087744">
      <w:pPr>
        <w:jc w:val="both"/>
        <w:rPr>
          <w:rFonts w:ascii="Arial" w:hAnsi="Arial" w:cs="Arial"/>
          <w:bCs/>
          <w:lang w:val="cs-CZ"/>
        </w:rPr>
      </w:pPr>
      <w:r w:rsidRPr="005F550B">
        <w:rPr>
          <w:rFonts w:ascii="Arial" w:hAnsi="Arial" w:cs="Arial"/>
          <w:bCs/>
          <w:lang w:val="cs-CZ"/>
        </w:rPr>
        <w:tab/>
      </w:r>
      <w:r w:rsidRPr="00E331F0">
        <w:rPr>
          <w:rFonts w:ascii="Arial" w:hAnsi="Arial" w:cs="Arial"/>
          <w:bCs/>
          <w:lang w:val="cs-CZ"/>
        </w:rPr>
        <w:t>(</w:t>
      </w:r>
      <w:r w:rsidR="000973EB">
        <w:rPr>
          <w:rFonts w:ascii="Arial" w:hAnsi="Arial" w:cs="Arial"/>
          <w:bCs/>
          <w:lang w:val="cs-CZ"/>
        </w:rPr>
        <w:t>6</w:t>
      </w:r>
      <w:r w:rsidRPr="00E331F0">
        <w:rPr>
          <w:rFonts w:ascii="Arial" w:hAnsi="Arial" w:cs="Arial"/>
          <w:bCs/>
          <w:lang w:val="cs-CZ"/>
        </w:rPr>
        <w:t>) Minimální počet odebraných vzorků z již vybourané znovuzískané asfaltové směsi je stanoven v tabulce č. 2 přílohy č. 2 k této vyhlášce.</w:t>
      </w:r>
    </w:p>
    <w:p w:rsidR="00087744" w:rsidRPr="00082545" w:rsidP="00087744">
      <w:pPr>
        <w:jc w:val="both"/>
        <w:rPr>
          <w:rFonts w:ascii="Arial" w:hAnsi="Arial" w:cs="Arial"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>§ 9</w:t>
      </w: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Laboratorní zkoušky</w:t>
      </w:r>
      <w:r w:rsidRPr="00082545">
        <w:rPr>
          <w:rFonts w:ascii="Arial" w:hAnsi="Arial" w:cs="Arial"/>
          <w:b/>
          <w:bCs/>
          <w:lang w:val="cs-CZ"/>
        </w:rPr>
        <w:t xml:space="preserve"> </w:t>
      </w:r>
    </w:p>
    <w:p w:rsidR="00087744" w:rsidRPr="00082545" w:rsidP="0008774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val="cs-CZ"/>
        </w:rPr>
      </w:pPr>
    </w:p>
    <w:p w:rsidR="00087744" w:rsidRPr="00E331F0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cs-CZ"/>
        </w:rPr>
      </w:pPr>
      <w:r w:rsidRPr="00082545">
        <w:rPr>
          <w:rFonts w:ascii="Arial" w:hAnsi="Arial" w:cs="Arial"/>
          <w:bCs/>
          <w:lang w:val="cs-CZ"/>
        </w:rPr>
        <w:tab/>
      </w:r>
      <w:r w:rsidRPr="00E331F0">
        <w:rPr>
          <w:rFonts w:ascii="Arial" w:hAnsi="Arial" w:cs="Arial"/>
          <w:bCs/>
          <w:lang w:val="cs-CZ"/>
        </w:rPr>
        <w:t>(1) Laboratorní zkoušky se provádějí v</w:t>
      </w:r>
      <w:r w:rsidR="000E15F8">
        <w:rPr>
          <w:rFonts w:ascii="Arial" w:hAnsi="Arial" w:cs="Arial"/>
          <w:bCs/>
          <w:lang w:val="cs-CZ"/>
        </w:rPr>
        <w:t> akreditovaných</w:t>
      </w:r>
      <w:r w:rsidR="000E15F8">
        <w:rPr>
          <w:rFonts w:ascii="Arial" w:hAnsi="Arial" w:cs="Arial"/>
          <w:bCs/>
          <w:vertAlign w:val="superscript"/>
          <w:lang w:val="cs-CZ"/>
        </w:rPr>
        <w:t>3)</w:t>
      </w:r>
      <w:r w:rsidR="000E15F8">
        <w:rPr>
          <w:rFonts w:ascii="Arial" w:hAnsi="Arial" w:cs="Arial"/>
          <w:bCs/>
          <w:lang w:val="cs-CZ"/>
        </w:rPr>
        <w:t xml:space="preserve"> </w:t>
      </w:r>
      <w:r w:rsidRPr="00E331F0">
        <w:rPr>
          <w:rFonts w:ascii="Arial" w:hAnsi="Arial" w:cs="Arial"/>
          <w:bCs/>
          <w:lang w:val="cs-CZ"/>
        </w:rPr>
        <w:t xml:space="preserve">laboratořích </w:t>
      </w:r>
      <w:r w:rsidR="000E15F8">
        <w:rPr>
          <w:rFonts w:ascii="Arial" w:hAnsi="Arial" w:cs="Arial"/>
          <w:bCs/>
          <w:lang w:val="cs-CZ"/>
        </w:rPr>
        <w:t>nebo</w:t>
      </w:r>
      <w:r w:rsidRPr="00E331F0">
        <w:rPr>
          <w:rFonts w:ascii="Arial" w:hAnsi="Arial" w:cs="Arial"/>
          <w:bCs/>
          <w:lang w:val="cs-CZ"/>
        </w:rPr>
        <w:t xml:space="preserve"> </w:t>
      </w:r>
      <w:r w:rsidR="000E15F8">
        <w:rPr>
          <w:rFonts w:ascii="Arial" w:hAnsi="Arial" w:cs="Arial"/>
          <w:bCs/>
          <w:lang w:val="cs-CZ"/>
        </w:rPr>
        <w:t>akreditovaných</w:t>
      </w:r>
      <w:r w:rsidR="000E15F8">
        <w:rPr>
          <w:rFonts w:ascii="Arial" w:hAnsi="Arial" w:cs="Arial"/>
          <w:bCs/>
          <w:vertAlign w:val="superscript"/>
          <w:lang w:val="cs-CZ"/>
        </w:rPr>
        <w:t>3)</w:t>
      </w:r>
      <w:r w:rsidR="000E15F8">
        <w:rPr>
          <w:rFonts w:ascii="Arial" w:hAnsi="Arial" w:cs="Arial"/>
          <w:bCs/>
          <w:lang w:val="cs-CZ"/>
        </w:rPr>
        <w:t xml:space="preserve"> </w:t>
      </w:r>
      <w:r w:rsidRPr="00E331F0">
        <w:rPr>
          <w:rFonts w:ascii="Arial" w:hAnsi="Arial" w:cs="Arial"/>
          <w:bCs/>
          <w:lang w:val="cs-CZ"/>
        </w:rPr>
        <w:t>odborných pracovištích</w:t>
      </w:r>
      <w:r w:rsidR="000E15F8">
        <w:rPr>
          <w:rFonts w:ascii="Arial" w:hAnsi="Arial" w:cs="Arial"/>
          <w:bCs/>
          <w:lang w:val="cs-CZ"/>
        </w:rPr>
        <w:t>.</w:t>
      </w:r>
    </w:p>
    <w:p w:rsidR="00087744" w:rsidRPr="00E331F0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cs-CZ"/>
        </w:rPr>
      </w:pPr>
    </w:p>
    <w:p w:rsidR="00087744" w:rsidP="007062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cs-CZ"/>
        </w:rPr>
      </w:pPr>
      <w:r w:rsidRPr="00C51651">
        <w:rPr>
          <w:rFonts w:ascii="Arial" w:hAnsi="Arial" w:cs="Arial"/>
          <w:bCs/>
          <w:lang w:val="cs-CZ"/>
        </w:rPr>
        <w:tab/>
      </w:r>
      <w:r w:rsidRPr="00E331F0">
        <w:rPr>
          <w:rFonts w:ascii="Arial" w:hAnsi="Arial" w:cs="Arial"/>
          <w:bCs/>
          <w:lang w:val="cs-CZ"/>
        </w:rPr>
        <w:t xml:space="preserve">(2) Při laboratorních zkouškách musí být dodržen rozsah stanovovaných </w:t>
      </w:r>
      <w:r w:rsidR="0089269A">
        <w:rPr>
          <w:rFonts w:ascii="Arial" w:hAnsi="Arial" w:cs="Arial"/>
          <w:bCs/>
          <w:lang w:val="cs-CZ"/>
        </w:rPr>
        <w:t>polyaromatických</w:t>
      </w:r>
      <w:r w:rsidR="0089269A">
        <w:rPr>
          <w:rFonts w:ascii="Arial" w:hAnsi="Arial" w:cs="Arial"/>
          <w:bCs/>
          <w:lang w:val="cs-CZ"/>
        </w:rPr>
        <w:t xml:space="preserve"> uhlovodíků</w:t>
      </w:r>
      <w:r w:rsidRPr="00E331F0">
        <w:rPr>
          <w:rFonts w:ascii="Arial" w:hAnsi="Arial" w:cs="Arial"/>
          <w:bCs/>
          <w:lang w:val="cs-CZ"/>
        </w:rPr>
        <w:t xml:space="preserve"> </w:t>
      </w:r>
      <w:r w:rsidR="00FA327C">
        <w:rPr>
          <w:rFonts w:ascii="Arial" w:hAnsi="Arial" w:cs="Arial"/>
          <w:bCs/>
          <w:lang w:val="cs-CZ"/>
        </w:rPr>
        <w:t xml:space="preserve">uvedených v </w:t>
      </w:r>
      <w:r w:rsidRPr="00E331F0">
        <w:rPr>
          <w:rFonts w:ascii="Arial" w:hAnsi="Arial" w:cs="Arial"/>
          <w:bCs/>
          <w:lang w:val="cs-CZ"/>
        </w:rPr>
        <w:t>tabul</w:t>
      </w:r>
      <w:r w:rsidR="00FA327C">
        <w:rPr>
          <w:rFonts w:ascii="Arial" w:hAnsi="Arial" w:cs="Arial"/>
          <w:bCs/>
          <w:lang w:val="cs-CZ"/>
        </w:rPr>
        <w:t>ce</w:t>
      </w:r>
      <w:r w:rsidRPr="00E331F0">
        <w:rPr>
          <w:rFonts w:ascii="Arial" w:hAnsi="Arial" w:cs="Arial"/>
          <w:bCs/>
          <w:lang w:val="cs-CZ"/>
        </w:rPr>
        <w:t xml:space="preserve"> č. 2 přílohy č. 1 k této vyhlášce.</w:t>
      </w:r>
    </w:p>
    <w:p w:rsidR="00087744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>§ 10</w:t>
      </w: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  <w:r w:rsidRPr="00082545">
        <w:rPr>
          <w:rFonts w:ascii="Arial" w:hAnsi="Arial" w:cs="Arial"/>
          <w:b/>
          <w:bCs/>
          <w:lang w:val="cs-CZ"/>
        </w:rPr>
        <w:t>Průvodní dokumentace</w:t>
      </w:r>
    </w:p>
    <w:p w:rsidR="00087744" w:rsidRPr="00082545" w:rsidP="00087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s-CZ"/>
        </w:rPr>
      </w:pPr>
    </w:p>
    <w:p w:rsidR="00087744" w:rsidRPr="00E331F0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cs-CZ"/>
        </w:rPr>
      </w:pPr>
      <w:r w:rsidRPr="00082545">
        <w:rPr>
          <w:rFonts w:ascii="Arial" w:hAnsi="Arial" w:cs="Arial"/>
          <w:bCs/>
          <w:lang w:val="cs-CZ"/>
        </w:rPr>
        <w:tab/>
      </w:r>
      <w:r w:rsidRPr="00E331F0">
        <w:rPr>
          <w:rFonts w:ascii="Arial" w:hAnsi="Arial" w:cs="Arial"/>
          <w:bCs/>
          <w:lang w:val="cs-CZ"/>
        </w:rPr>
        <w:t xml:space="preserve">(1) </w:t>
      </w:r>
      <w:r w:rsidR="0022191C">
        <w:rPr>
          <w:rFonts w:ascii="Arial" w:hAnsi="Arial" w:cs="Arial"/>
          <w:bCs/>
          <w:lang w:val="cs-CZ"/>
        </w:rPr>
        <w:t xml:space="preserve">Průvodní dokumentace </w:t>
      </w:r>
      <w:r w:rsidRPr="00E331F0">
        <w:rPr>
          <w:rFonts w:ascii="Arial" w:hAnsi="Arial" w:cs="Arial"/>
          <w:bCs/>
          <w:lang w:val="cs-CZ"/>
        </w:rPr>
        <w:t>znovuzískan</w:t>
      </w:r>
      <w:r w:rsidR="0022191C">
        <w:rPr>
          <w:rFonts w:ascii="Arial" w:hAnsi="Arial" w:cs="Arial"/>
          <w:bCs/>
          <w:lang w:val="cs-CZ"/>
        </w:rPr>
        <w:t>é</w:t>
      </w:r>
      <w:r w:rsidRPr="00E331F0">
        <w:rPr>
          <w:rFonts w:ascii="Arial" w:hAnsi="Arial" w:cs="Arial"/>
          <w:bCs/>
          <w:lang w:val="cs-CZ"/>
        </w:rPr>
        <w:t xml:space="preserve"> asfaltov</w:t>
      </w:r>
      <w:r w:rsidR="0022191C">
        <w:rPr>
          <w:rFonts w:ascii="Arial" w:hAnsi="Arial" w:cs="Arial"/>
          <w:bCs/>
          <w:lang w:val="cs-CZ"/>
        </w:rPr>
        <w:t>é</w:t>
      </w:r>
      <w:r w:rsidRPr="00E331F0">
        <w:rPr>
          <w:rFonts w:ascii="Arial" w:hAnsi="Arial" w:cs="Arial"/>
          <w:bCs/>
          <w:lang w:val="cs-CZ"/>
        </w:rPr>
        <w:t xml:space="preserve"> směs</w:t>
      </w:r>
      <w:r w:rsidR="0022191C">
        <w:rPr>
          <w:rFonts w:ascii="Arial" w:hAnsi="Arial" w:cs="Arial"/>
          <w:bCs/>
          <w:lang w:val="cs-CZ"/>
        </w:rPr>
        <w:t>i, která je</w:t>
      </w:r>
      <w:r w:rsidRPr="00E331F0">
        <w:rPr>
          <w:rFonts w:ascii="Arial" w:hAnsi="Arial" w:cs="Arial"/>
          <w:bCs/>
          <w:lang w:val="cs-CZ"/>
        </w:rPr>
        <w:t xml:space="preserve"> vedlejší</w:t>
      </w:r>
      <w:r w:rsidR="0022191C">
        <w:rPr>
          <w:rFonts w:ascii="Arial" w:hAnsi="Arial" w:cs="Arial"/>
          <w:bCs/>
          <w:lang w:val="cs-CZ"/>
        </w:rPr>
        <w:t>m</w:t>
      </w:r>
      <w:r w:rsidRPr="00E331F0">
        <w:rPr>
          <w:rFonts w:ascii="Arial" w:hAnsi="Arial" w:cs="Arial"/>
          <w:bCs/>
          <w:lang w:val="cs-CZ"/>
        </w:rPr>
        <w:t xml:space="preserve"> produkt</w:t>
      </w:r>
      <w:r w:rsidR="0022191C">
        <w:rPr>
          <w:rFonts w:ascii="Arial" w:hAnsi="Arial" w:cs="Arial"/>
          <w:bCs/>
          <w:lang w:val="cs-CZ"/>
        </w:rPr>
        <w:t>em</w:t>
      </w:r>
      <w:r w:rsidRPr="00E331F0">
        <w:rPr>
          <w:rFonts w:ascii="Arial" w:hAnsi="Arial" w:cs="Arial"/>
          <w:bCs/>
          <w:lang w:val="cs-CZ"/>
        </w:rPr>
        <w:t xml:space="preserve"> nebo která přestala být odpadem</w:t>
      </w:r>
      <w:r w:rsidR="0022191C">
        <w:rPr>
          <w:rFonts w:ascii="Arial" w:hAnsi="Arial" w:cs="Arial"/>
          <w:bCs/>
          <w:lang w:val="cs-CZ"/>
        </w:rPr>
        <w:t>,</w:t>
      </w:r>
      <w:r w:rsidRPr="00E331F0">
        <w:rPr>
          <w:rFonts w:ascii="Arial" w:hAnsi="Arial" w:cs="Arial"/>
          <w:bCs/>
          <w:lang w:val="cs-CZ"/>
        </w:rPr>
        <w:t xml:space="preserve"> </w:t>
      </w:r>
      <w:r w:rsidR="0022191C">
        <w:rPr>
          <w:rFonts w:ascii="Arial" w:hAnsi="Arial" w:cs="Arial"/>
          <w:bCs/>
          <w:lang w:val="cs-CZ"/>
        </w:rPr>
        <w:t>obsahuje následující údaje a dokumenty</w:t>
      </w:r>
      <w:r w:rsidR="0080612A">
        <w:rPr>
          <w:rFonts w:ascii="Arial" w:hAnsi="Arial" w:cs="Arial"/>
          <w:bCs/>
          <w:lang w:val="cs-CZ"/>
        </w:rPr>
        <w:t>:</w:t>
      </w:r>
    </w:p>
    <w:p w:rsidR="00FA327C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cs-CZ"/>
        </w:rPr>
      </w:pPr>
    </w:p>
    <w:p w:rsidR="00087744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a) identifika</w:t>
      </w:r>
      <w:r w:rsidR="00FA327C">
        <w:rPr>
          <w:rFonts w:ascii="Arial" w:hAnsi="Arial" w:cs="Arial"/>
          <w:bCs/>
          <w:lang w:val="cs-CZ"/>
        </w:rPr>
        <w:t>ce</w:t>
      </w:r>
      <w:r>
        <w:rPr>
          <w:rFonts w:ascii="Arial" w:hAnsi="Arial" w:cs="Arial"/>
          <w:bCs/>
          <w:lang w:val="cs-CZ"/>
        </w:rPr>
        <w:t xml:space="preserve"> osoby, která zařadila znovuzískanou asfaltovou směs jako v</w:t>
      </w:r>
      <w:r w:rsidR="00881870">
        <w:rPr>
          <w:rFonts w:ascii="Arial" w:hAnsi="Arial" w:cs="Arial"/>
          <w:bCs/>
          <w:lang w:val="cs-CZ"/>
        </w:rPr>
        <w:t>edlejší produkt nebo jako znovuzískanou asfaltovou směs, která p</w:t>
      </w:r>
      <w:r w:rsidR="00B313CD">
        <w:rPr>
          <w:rFonts w:ascii="Arial" w:hAnsi="Arial" w:cs="Arial"/>
          <w:bCs/>
          <w:lang w:val="cs-CZ"/>
        </w:rPr>
        <w:t>řestala být odpadem,</w:t>
      </w:r>
    </w:p>
    <w:p w:rsidR="00881870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cs-CZ"/>
        </w:rPr>
      </w:pPr>
    </w:p>
    <w:p w:rsidR="00031FFA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b) </w:t>
      </w:r>
      <w:r>
        <w:rPr>
          <w:rFonts w:ascii="Arial" w:hAnsi="Arial" w:cs="Arial"/>
          <w:bCs/>
          <w:lang w:val="cs-CZ"/>
        </w:rPr>
        <w:t>údaj o tom</w:t>
      </w:r>
      <w:r w:rsidR="00FA327C">
        <w:rPr>
          <w:rFonts w:ascii="Arial" w:hAnsi="Arial" w:cs="Arial"/>
          <w:bCs/>
          <w:lang w:val="cs-CZ"/>
        </w:rPr>
        <w:t>,</w:t>
      </w:r>
      <w:r>
        <w:rPr>
          <w:rFonts w:ascii="Arial" w:hAnsi="Arial" w:cs="Arial"/>
          <w:bCs/>
          <w:lang w:val="cs-CZ"/>
        </w:rPr>
        <w:t xml:space="preserve"> zda se jedná o vedlejší produkt nebo znovuzískanou asfaltovou směs, která přestala být odpadem,</w:t>
      </w:r>
    </w:p>
    <w:p w:rsidR="00031FFA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cs-CZ"/>
        </w:rPr>
      </w:pPr>
    </w:p>
    <w:p w:rsidR="00881870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Cs/>
          <w:lang w:val="cs-CZ"/>
        </w:rPr>
        <w:t xml:space="preserve">c) </w:t>
      </w:r>
      <w:r>
        <w:rPr>
          <w:rFonts w:ascii="Arial" w:hAnsi="Arial" w:cs="Arial"/>
          <w:bCs/>
          <w:lang w:val="cs-CZ"/>
        </w:rPr>
        <w:t>m</w:t>
      </w:r>
      <w:r>
        <w:rPr>
          <w:rFonts w:ascii="Arial" w:hAnsi="Arial" w:cs="Arial"/>
          <w:lang w:val="cs-CZ"/>
        </w:rPr>
        <w:t>íst</w:t>
      </w:r>
      <w:r w:rsidR="00FA327C">
        <w:rPr>
          <w:rFonts w:ascii="Arial" w:hAnsi="Arial" w:cs="Arial"/>
          <w:lang w:val="cs-CZ"/>
        </w:rPr>
        <w:t>o</w:t>
      </w:r>
      <w:r w:rsidRPr="00E331F0">
        <w:rPr>
          <w:rFonts w:ascii="Arial" w:hAnsi="Arial" w:cs="Arial"/>
          <w:lang w:val="cs-CZ"/>
        </w:rPr>
        <w:t xml:space="preserve"> vzniku</w:t>
      </w:r>
      <w:r>
        <w:rPr>
          <w:rFonts w:ascii="Arial" w:hAnsi="Arial" w:cs="Arial"/>
          <w:lang w:val="cs-CZ"/>
        </w:rPr>
        <w:t xml:space="preserve"> znovuzískané asfaltové směsi,</w:t>
      </w:r>
      <w:r w:rsidR="00FA327C">
        <w:rPr>
          <w:rFonts w:ascii="Arial" w:hAnsi="Arial" w:cs="Arial"/>
          <w:lang w:val="cs-CZ"/>
        </w:rPr>
        <w:t xml:space="preserve"> která je vedlejším produktem,</w:t>
      </w:r>
      <w:r>
        <w:rPr>
          <w:rFonts w:ascii="Arial" w:hAnsi="Arial" w:cs="Arial"/>
          <w:lang w:val="cs-CZ"/>
        </w:rPr>
        <w:t xml:space="preserve"> a to alespo</w:t>
      </w:r>
      <w:r>
        <w:rPr>
          <w:rFonts w:ascii="Arial" w:hAnsi="Arial" w:cs="Arial"/>
          <w:lang w:val="cs-CZ"/>
        </w:rPr>
        <w:t>ň č</w:t>
      </w:r>
      <w:r w:rsidRPr="00E331F0">
        <w:rPr>
          <w:rFonts w:ascii="Arial" w:hAnsi="Arial" w:cs="Arial"/>
          <w:lang w:val="cs-CZ"/>
        </w:rPr>
        <w:t xml:space="preserve">íslo </w:t>
      </w:r>
      <w:r w:rsidR="00C71704">
        <w:rPr>
          <w:rFonts w:ascii="Arial" w:hAnsi="Arial" w:cs="Arial"/>
          <w:lang w:val="cs-CZ"/>
        </w:rPr>
        <w:t>pozemní komunikace</w:t>
      </w:r>
      <w:r w:rsidRPr="00E331F0" w:rsidR="00C71704">
        <w:rPr>
          <w:rFonts w:ascii="Arial" w:hAnsi="Arial" w:cs="Arial"/>
          <w:lang w:val="cs-CZ"/>
        </w:rPr>
        <w:t xml:space="preserve"> </w:t>
      </w:r>
      <w:r w:rsidRPr="00E331F0">
        <w:rPr>
          <w:rFonts w:ascii="Arial" w:hAnsi="Arial" w:cs="Arial"/>
          <w:lang w:val="cs-CZ"/>
        </w:rPr>
        <w:t>a kilometr</w:t>
      </w:r>
      <w:r>
        <w:rPr>
          <w:rFonts w:ascii="Arial" w:hAnsi="Arial" w:cs="Arial"/>
          <w:lang w:val="cs-CZ"/>
        </w:rPr>
        <w:t xml:space="preserve"> nebo adresu místa vybourání, nebo údaj o zařízení, ve kterém přestala být znovuzískaná asfaltová směs odpadem, a to alespoň </w:t>
      </w:r>
      <w:r w:rsidR="00B313CD">
        <w:rPr>
          <w:rFonts w:ascii="Arial" w:hAnsi="Arial" w:cs="Arial"/>
          <w:lang w:val="cs-CZ"/>
        </w:rPr>
        <w:t>adresa</w:t>
      </w:r>
      <w:r>
        <w:rPr>
          <w:rFonts w:ascii="Arial" w:hAnsi="Arial" w:cs="Arial"/>
          <w:lang w:val="cs-CZ"/>
        </w:rPr>
        <w:t xml:space="preserve"> a identifikační číslo zařízení,</w:t>
      </w:r>
    </w:p>
    <w:p w:rsidR="00031FFA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031FFA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d)</w:t>
      </w:r>
      <w:r w:rsidR="00B313CD">
        <w:rPr>
          <w:rFonts w:ascii="Arial" w:hAnsi="Arial" w:cs="Arial"/>
          <w:lang w:val="cs-CZ"/>
        </w:rPr>
        <w:t xml:space="preserve"> jakostní tříd</w:t>
      </w:r>
      <w:r w:rsidR="00944362">
        <w:rPr>
          <w:rFonts w:ascii="Arial" w:hAnsi="Arial" w:cs="Arial"/>
          <w:lang w:val="cs-CZ"/>
        </w:rPr>
        <w:t>a</w:t>
      </w:r>
      <w:r w:rsidR="00B313CD">
        <w:rPr>
          <w:rFonts w:ascii="Arial" w:hAnsi="Arial" w:cs="Arial"/>
          <w:lang w:val="cs-CZ"/>
        </w:rPr>
        <w:t xml:space="preserve"> </w:t>
      </w:r>
      <w:r w:rsidR="00944362">
        <w:rPr>
          <w:rFonts w:ascii="Arial" w:hAnsi="Arial" w:cs="Arial"/>
          <w:lang w:val="cs-CZ"/>
        </w:rPr>
        <w:t xml:space="preserve">znovuzískané asfaltové směsi </w:t>
      </w:r>
      <w:r w:rsidR="00B313CD">
        <w:rPr>
          <w:rFonts w:ascii="Arial" w:hAnsi="Arial" w:cs="Arial"/>
          <w:lang w:val="cs-CZ"/>
        </w:rPr>
        <w:t>a celkov</w:t>
      </w:r>
      <w:r w:rsidR="00944362">
        <w:rPr>
          <w:rFonts w:ascii="Arial" w:hAnsi="Arial" w:cs="Arial"/>
          <w:lang w:val="cs-CZ"/>
        </w:rPr>
        <w:t>ý</w:t>
      </w:r>
      <w:r w:rsidR="00B313CD">
        <w:rPr>
          <w:rFonts w:ascii="Arial" w:hAnsi="Arial" w:cs="Arial"/>
          <w:lang w:val="cs-CZ"/>
        </w:rPr>
        <w:t xml:space="preserve"> obsah </w:t>
      </w:r>
      <w:r w:rsidR="00B313CD">
        <w:rPr>
          <w:rFonts w:ascii="Arial" w:hAnsi="Arial" w:cs="Arial"/>
          <w:lang w:val="cs-CZ"/>
        </w:rPr>
        <w:t>polyaromatických</w:t>
      </w:r>
      <w:r w:rsidR="00B313CD">
        <w:rPr>
          <w:rFonts w:ascii="Arial" w:hAnsi="Arial" w:cs="Arial"/>
          <w:lang w:val="cs-CZ"/>
        </w:rPr>
        <w:t xml:space="preserve"> uhlovodíků,</w:t>
      </w:r>
    </w:p>
    <w:p w:rsidR="00B313CD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313CD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e) množství znovuzískané asfaltové směsi, ke které se průvodní dokumentace vztahuje,</w:t>
      </w:r>
    </w:p>
    <w:p w:rsidR="00B313CD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313CD" w:rsidP="00064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f) </w:t>
      </w:r>
      <w:r w:rsidR="00944362">
        <w:rPr>
          <w:rFonts w:ascii="Arial" w:hAnsi="Arial" w:cs="Arial"/>
          <w:lang w:val="cs-CZ"/>
        </w:rPr>
        <w:t xml:space="preserve">výčet </w:t>
      </w:r>
      <w:r w:rsidR="00064377">
        <w:rPr>
          <w:rFonts w:ascii="Arial" w:hAnsi="Arial" w:cs="Arial"/>
          <w:lang w:val="cs-CZ"/>
        </w:rPr>
        <w:t>použit</w:t>
      </w:r>
      <w:r w:rsidR="00944362">
        <w:rPr>
          <w:rFonts w:ascii="Arial" w:hAnsi="Arial" w:cs="Arial"/>
          <w:lang w:val="cs-CZ"/>
        </w:rPr>
        <w:t>í</w:t>
      </w:r>
      <w:r w:rsidR="00064377">
        <w:rPr>
          <w:rFonts w:ascii="Arial" w:hAnsi="Arial" w:cs="Arial"/>
          <w:lang w:val="cs-CZ"/>
        </w:rPr>
        <w:t xml:space="preserve">, která </w:t>
      </w:r>
      <w:r w:rsidR="00944362">
        <w:rPr>
          <w:rFonts w:ascii="Arial" w:hAnsi="Arial" w:cs="Arial"/>
          <w:lang w:val="cs-CZ"/>
        </w:rPr>
        <w:t xml:space="preserve">jsou </w:t>
      </w:r>
      <w:r w:rsidR="00064377">
        <w:rPr>
          <w:rFonts w:ascii="Arial" w:hAnsi="Arial" w:cs="Arial"/>
          <w:lang w:val="cs-CZ"/>
        </w:rPr>
        <w:t>pro danou znovuzískanou asfaltovou směs</w:t>
      </w:r>
      <w:r w:rsidR="00944362">
        <w:rPr>
          <w:rFonts w:ascii="Arial" w:hAnsi="Arial" w:cs="Arial"/>
          <w:lang w:val="cs-CZ"/>
        </w:rPr>
        <w:t xml:space="preserve"> přípustná dle </w:t>
      </w:r>
      <w:r w:rsidR="00064377">
        <w:rPr>
          <w:rFonts w:ascii="Arial" w:hAnsi="Arial" w:cs="Arial"/>
          <w:lang w:val="cs-CZ"/>
        </w:rPr>
        <w:t>t</w:t>
      </w:r>
      <w:r w:rsidR="00944362">
        <w:rPr>
          <w:rFonts w:ascii="Arial" w:hAnsi="Arial" w:cs="Arial"/>
          <w:lang w:val="cs-CZ"/>
        </w:rPr>
        <w:t>éto</w:t>
      </w:r>
      <w:r w:rsidR="00064377">
        <w:rPr>
          <w:rFonts w:ascii="Arial" w:hAnsi="Arial" w:cs="Arial"/>
          <w:lang w:val="cs-CZ"/>
        </w:rPr>
        <w:t xml:space="preserve"> vyhlášk</w:t>
      </w:r>
      <w:r w:rsidR="00944362">
        <w:rPr>
          <w:rFonts w:ascii="Arial" w:hAnsi="Arial" w:cs="Arial"/>
          <w:lang w:val="cs-CZ"/>
        </w:rPr>
        <w:t>y</w:t>
      </w:r>
      <w:r w:rsidR="00064377">
        <w:rPr>
          <w:rFonts w:ascii="Arial" w:hAnsi="Arial" w:cs="Arial"/>
          <w:lang w:val="cs-CZ"/>
        </w:rPr>
        <w:t>,</w:t>
      </w:r>
    </w:p>
    <w:p w:rsidR="00064377" w:rsidP="00064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064377" w:rsidP="00064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g) podpis, kterým osoba</w:t>
      </w:r>
      <w:r>
        <w:rPr>
          <w:rFonts w:ascii="Arial" w:hAnsi="Arial" w:cs="Arial"/>
          <w:bCs/>
          <w:lang w:val="cs-CZ"/>
        </w:rPr>
        <w:t>, která zařadila znovuzískanou asfaltovou směs jako vedlejší produkt nebo jako znovuzískanou asfaltovou směs, která přestala být odpadem</w:t>
      </w:r>
      <w:r w:rsidR="00944362">
        <w:rPr>
          <w:rFonts w:ascii="Arial" w:hAnsi="Arial" w:cs="Arial"/>
          <w:bCs/>
          <w:lang w:val="cs-CZ"/>
        </w:rPr>
        <w:t>,</w:t>
      </w:r>
      <w:r>
        <w:rPr>
          <w:rFonts w:ascii="Arial" w:hAnsi="Arial" w:cs="Arial"/>
          <w:bCs/>
          <w:lang w:val="cs-CZ"/>
        </w:rPr>
        <w:t xml:space="preserve"> potvrzuje pravdivost údajů uvedených v průvodní dokumentaci, a</w:t>
      </w:r>
    </w:p>
    <w:p w:rsidR="00064377" w:rsidP="00064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3CF7" w:rsidP="00064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g) protokol o </w:t>
      </w:r>
      <w:r w:rsidR="00F134C8">
        <w:rPr>
          <w:rFonts w:ascii="Arial" w:hAnsi="Arial" w:cs="Arial"/>
          <w:lang w:val="cs-CZ"/>
        </w:rPr>
        <w:t xml:space="preserve">provedeném </w:t>
      </w:r>
      <w:r>
        <w:rPr>
          <w:rFonts w:ascii="Arial" w:hAnsi="Arial" w:cs="Arial"/>
          <w:lang w:val="cs-CZ"/>
        </w:rPr>
        <w:t>vzorkování a</w:t>
      </w:r>
      <w:r w:rsidR="00944362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protokol o </w:t>
      </w:r>
      <w:r w:rsidR="00F134C8">
        <w:rPr>
          <w:rFonts w:ascii="Arial" w:hAnsi="Arial" w:cs="Arial"/>
          <w:lang w:val="cs-CZ"/>
        </w:rPr>
        <w:t xml:space="preserve">laboratorních </w:t>
      </w:r>
      <w:r>
        <w:rPr>
          <w:rFonts w:ascii="Arial" w:hAnsi="Arial" w:cs="Arial"/>
          <w:lang w:val="cs-CZ"/>
        </w:rPr>
        <w:t>zkouškách</w:t>
      </w:r>
      <w:r w:rsidR="00944362">
        <w:rPr>
          <w:rFonts w:ascii="Arial" w:hAnsi="Arial" w:cs="Arial"/>
          <w:lang w:val="cs-CZ"/>
        </w:rPr>
        <w:t>, nebo</w:t>
      </w:r>
      <w:r>
        <w:rPr>
          <w:rFonts w:ascii="Arial" w:hAnsi="Arial" w:cs="Arial"/>
          <w:lang w:val="cs-CZ"/>
        </w:rPr>
        <w:t xml:space="preserve"> </w:t>
      </w:r>
      <w:r w:rsidR="00944362">
        <w:rPr>
          <w:rFonts w:ascii="Arial" w:hAnsi="Arial" w:cs="Arial"/>
          <w:lang w:val="cs-CZ"/>
        </w:rPr>
        <w:t xml:space="preserve">kopie těchto protokolů, pokud je </w:t>
      </w:r>
      <w:r>
        <w:rPr>
          <w:rFonts w:ascii="Arial" w:hAnsi="Arial" w:cs="Arial"/>
          <w:lang w:val="cs-CZ"/>
        </w:rPr>
        <w:t>držitelem</w:t>
      </w:r>
      <w:r w:rsidR="00944362">
        <w:rPr>
          <w:rFonts w:ascii="Arial" w:hAnsi="Arial" w:cs="Arial"/>
          <w:lang w:val="cs-CZ"/>
        </w:rPr>
        <w:t xml:space="preserve"> znovuzískané asfaltové směsi jiná osoba, než která ji zařadila</w:t>
      </w:r>
      <w:r w:rsidR="00F134C8">
        <w:rPr>
          <w:rFonts w:ascii="Arial" w:hAnsi="Arial" w:cs="Arial"/>
          <w:lang w:val="cs-CZ"/>
        </w:rPr>
        <w:t xml:space="preserve"> jako vedlejší produkt nebo jako znovuzískanou asfaltovou směs, která přestala být odpadem</w:t>
      </w:r>
      <w:r>
        <w:rPr>
          <w:rFonts w:ascii="Arial" w:hAnsi="Arial" w:cs="Arial"/>
          <w:lang w:val="cs-CZ"/>
        </w:rPr>
        <w:t>.</w:t>
      </w:r>
    </w:p>
    <w:p w:rsidR="00D13CF7" w:rsidP="00064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7D3BB3" w:rsidRPr="00082545" w:rsidP="007D3B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§ 11</w:t>
      </w:r>
    </w:p>
    <w:p w:rsidR="007D3BB3" w:rsidRPr="00082545" w:rsidP="007D3B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7D3BB3" w:rsidRPr="00082545" w:rsidP="007D3B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Oznámení</w:t>
      </w:r>
    </w:p>
    <w:p w:rsidR="007D3BB3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031FFA" w:rsidP="008007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s-CZ"/>
        </w:rPr>
      </w:pPr>
      <w:r w:rsidRPr="00FA2077">
        <w:rPr>
          <w:rFonts w:ascii="Arial" w:hAnsi="Arial" w:cs="Arial"/>
          <w:lang w:val="cs-CZ"/>
        </w:rPr>
        <w:t>Tato vyhláška byla oznámena v souladu se s</w:t>
      </w:r>
      <w:r w:rsidR="0080612A">
        <w:rPr>
          <w:rFonts w:ascii="Arial" w:hAnsi="Arial" w:cs="Arial"/>
          <w:lang w:val="cs-CZ"/>
        </w:rPr>
        <w:t>měrnicí Evropského parlamentu a </w:t>
      </w:r>
      <w:r w:rsidRPr="00FA2077">
        <w:rPr>
          <w:rFonts w:ascii="Arial" w:hAnsi="Arial" w:cs="Arial"/>
          <w:lang w:val="cs-CZ"/>
        </w:rPr>
        <w:t>Rady (EU) 2015/1535 ze dne 9. září 2015 o post</w:t>
      </w:r>
      <w:r w:rsidR="0080612A">
        <w:rPr>
          <w:rFonts w:ascii="Arial" w:hAnsi="Arial" w:cs="Arial"/>
          <w:lang w:val="cs-CZ"/>
        </w:rPr>
        <w:t>upu při poskytování informací v </w:t>
      </w:r>
      <w:r w:rsidRPr="00FA2077">
        <w:rPr>
          <w:rFonts w:ascii="Arial" w:hAnsi="Arial" w:cs="Arial"/>
          <w:lang w:val="cs-CZ"/>
        </w:rPr>
        <w:t>oblasti technických předpisů a předpisů pro služby informační společnosti.</w:t>
      </w:r>
    </w:p>
    <w:p w:rsidR="00D13CF7" w:rsidP="006220AD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>§ 1</w:t>
      </w:r>
      <w:r w:rsidR="00FA2077">
        <w:rPr>
          <w:rFonts w:ascii="Arial" w:hAnsi="Arial" w:cs="Arial"/>
          <w:lang w:val="cs-CZ"/>
        </w:rPr>
        <w:t>2</w:t>
      </w: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</w:p>
    <w:p w:rsidR="00087744" w:rsidRPr="00082545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  <w:r w:rsidRPr="00082545">
        <w:rPr>
          <w:rFonts w:ascii="Arial" w:hAnsi="Arial" w:cs="Arial"/>
          <w:b/>
          <w:bCs/>
          <w:lang w:val="cs-CZ"/>
        </w:rPr>
        <w:t>Účinnost</w:t>
      </w:r>
    </w:p>
    <w:p w:rsidR="00087744" w:rsidRPr="00082545" w:rsidP="007062AD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 xml:space="preserve"> </w:t>
      </w:r>
    </w:p>
    <w:p w:rsidR="00087744" w:rsidRPr="00082545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082545">
        <w:rPr>
          <w:rFonts w:ascii="Arial" w:hAnsi="Arial" w:cs="Arial"/>
          <w:lang w:val="cs-CZ"/>
        </w:rPr>
        <w:tab/>
        <w:t xml:space="preserve">Tato vyhláška nabývá účinnosti </w:t>
      </w:r>
      <w:r w:rsidR="006B5A7B">
        <w:rPr>
          <w:rFonts w:ascii="Arial" w:hAnsi="Arial" w:cs="Arial"/>
          <w:lang w:val="cs-CZ"/>
        </w:rPr>
        <w:t xml:space="preserve">dnem </w:t>
      </w:r>
      <w:bookmarkStart w:id="0" w:name="_GoBack"/>
      <w:bookmarkEnd w:id="0"/>
      <w:r w:rsidR="00D316B4">
        <w:rPr>
          <w:rFonts w:ascii="Arial" w:hAnsi="Arial" w:cs="Arial"/>
          <w:lang w:val="cs-CZ"/>
        </w:rPr>
        <w:t>1. května 2019</w:t>
      </w:r>
      <w:r w:rsidR="00A73246">
        <w:rPr>
          <w:rFonts w:ascii="Arial" w:hAnsi="Arial" w:cs="Arial"/>
          <w:lang w:val="cs-CZ"/>
        </w:rPr>
        <w:t>.</w:t>
      </w:r>
    </w:p>
    <w:p w:rsidR="00087744" w:rsidRPr="00082545" w:rsidP="00087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087744" w:rsidP="000877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lang w:val="cs-CZ"/>
        </w:rPr>
      </w:pPr>
    </w:p>
    <w:p w:rsidR="00087744" w:rsidP="000877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lang w:val="cs-CZ"/>
        </w:rPr>
      </w:pPr>
    </w:p>
    <w:p w:rsidR="00087744" w:rsidP="000877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Ministr životního prostředí:</w:t>
      </w:r>
    </w:p>
    <w:p w:rsidR="00087744" w:rsidP="00087744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:rsidR="00087744" w:rsidP="00087744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:rsidR="00087744">
      <w:pPr>
        <w:rPr>
          <w:rFonts w:ascii="Arial" w:hAnsi="Arial" w:cs="Arial"/>
          <w:lang w:val="cs-CZ"/>
        </w:rPr>
      </w:pPr>
    </w:p>
    <w:p w:rsidR="007062AD" w:rsidP="000877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lang w:val="cs-CZ"/>
        </w:rPr>
        <w:sectPr w:rsidSect="00087744">
          <w:headerReference w:type="even" r:id="rId6"/>
          <w:footerReference w:type="default" r:id="rId7"/>
          <w:headerReference w:type="firs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087744" w:rsidRPr="00082545" w:rsidP="000877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Příloha č. 1 k vyhlášce č. …</w:t>
      </w:r>
      <w:r w:rsidRPr="00082545">
        <w:rPr>
          <w:rFonts w:ascii="Arial" w:hAnsi="Arial" w:cs="Arial"/>
          <w:b/>
          <w:lang w:val="cs-CZ"/>
        </w:rPr>
        <w:t>/201</w:t>
      </w:r>
      <w:r w:rsidR="007062AD">
        <w:rPr>
          <w:rFonts w:ascii="Arial" w:hAnsi="Arial" w:cs="Arial"/>
          <w:b/>
          <w:lang w:val="cs-CZ"/>
        </w:rPr>
        <w:t>9</w:t>
      </w:r>
      <w:r w:rsidRPr="00082545">
        <w:rPr>
          <w:rFonts w:ascii="Arial" w:hAnsi="Arial" w:cs="Arial"/>
          <w:b/>
          <w:lang w:val="cs-CZ"/>
        </w:rPr>
        <w:t xml:space="preserve"> Sb.</w:t>
      </w:r>
    </w:p>
    <w:p w:rsidR="00087744" w:rsidRPr="00082545" w:rsidP="00087744">
      <w:pPr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:rsidR="00087744" w:rsidRPr="007438A4" w:rsidP="007438A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 w:rsidRPr="007438A4">
        <w:rPr>
          <w:rFonts w:ascii="Arial" w:hAnsi="Arial" w:cs="Arial"/>
          <w:b/>
          <w:lang w:val="cs-CZ"/>
        </w:rPr>
        <w:t xml:space="preserve">Celkové množství </w:t>
      </w:r>
      <w:r w:rsidRPr="007438A4">
        <w:rPr>
          <w:rFonts w:ascii="Arial" w:hAnsi="Arial" w:cs="Arial"/>
          <w:b/>
          <w:lang w:val="cs-CZ"/>
        </w:rPr>
        <w:t>polyaromatických</w:t>
      </w:r>
      <w:r w:rsidRPr="007438A4">
        <w:rPr>
          <w:rFonts w:ascii="Arial" w:hAnsi="Arial" w:cs="Arial"/>
          <w:b/>
          <w:lang w:val="cs-CZ"/>
        </w:rPr>
        <w:t xml:space="preserve"> uhlovodíků </w:t>
      </w:r>
      <w:r w:rsidRPr="007438A4" w:rsidR="0068688D">
        <w:rPr>
          <w:rFonts w:ascii="Arial" w:hAnsi="Arial" w:cs="Arial"/>
          <w:b/>
          <w:lang w:val="cs-CZ"/>
        </w:rPr>
        <w:t>(PAU)</w:t>
      </w:r>
    </w:p>
    <w:p w:rsidR="00D55276" w:rsidP="007438A4">
      <w:pPr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D55276" w:rsidRPr="007438A4" w:rsidP="007438A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cs-CZ"/>
        </w:rPr>
      </w:pPr>
      <w:r w:rsidRPr="007438A4">
        <w:rPr>
          <w:rFonts w:ascii="Arial" w:hAnsi="Arial" w:cs="Arial"/>
          <w:b/>
          <w:lang w:val="cs-CZ"/>
        </w:rPr>
        <w:t>Tabulka č. 1</w:t>
      </w:r>
    </w:p>
    <w:p w:rsidR="00D55276" w:rsidRPr="007438A4" w:rsidP="007438A4">
      <w:pPr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754977">
        <w:rPr>
          <w:rFonts w:ascii="Arial" w:hAnsi="Arial" w:cs="Arial"/>
          <w:lang w:val="cs-CZ"/>
        </w:rPr>
        <w:t xml:space="preserve">Celkové množství </w:t>
      </w:r>
      <w:r w:rsidRPr="00754977">
        <w:rPr>
          <w:rFonts w:ascii="Arial" w:hAnsi="Arial" w:cs="Arial"/>
          <w:lang w:val="cs-CZ"/>
        </w:rPr>
        <w:t>polyaromatických</w:t>
      </w:r>
      <w:r w:rsidRPr="00754977">
        <w:rPr>
          <w:rFonts w:ascii="Arial" w:hAnsi="Arial" w:cs="Arial"/>
          <w:lang w:val="cs-CZ"/>
        </w:rPr>
        <w:t xml:space="preserve"> uhlovodíků </w:t>
      </w:r>
      <w:r>
        <w:rPr>
          <w:rFonts w:ascii="Arial" w:hAnsi="Arial" w:cs="Arial"/>
          <w:lang w:val="cs-CZ"/>
        </w:rPr>
        <w:t xml:space="preserve">(PAU) </w:t>
      </w:r>
      <w:r w:rsidRPr="00754977">
        <w:rPr>
          <w:rFonts w:ascii="Arial" w:hAnsi="Arial" w:cs="Arial"/>
          <w:lang w:val="cs-CZ"/>
        </w:rPr>
        <w:t>pro jakostní třídy znovuzískaných asfaltových směsí ZAS-T1, ZAS-T2, ZAS-T3 a ZAS-T4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tbl>
      <w:tblPr>
        <w:tblStyle w:val="TableGrid"/>
        <w:tblW w:w="9032" w:type="dxa"/>
        <w:tblInd w:w="108" w:type="dxa"/>
        <w:tblLook w:val="04A0"/>
      </w:tblPr>
      <w:tblGrid>
        <w:gridCol w:w="2552"/>
        <w:gridCol w:w="1276"/>
        <w:gridCol w:w="1338"/>
        <w:gridCol w:w="1338"/>
        <w:gridCol w:w="1338"/>
        <w:gridCol w:w="1190"/>
      </w:tblGrid>
      <w:tr w:rsidTr="00087744">
        <w:tblPrEx>
          <w:tblW w:w="9032" w:type="dxa"/>
          <w:tblInd w:w="108" w:type="dxa"/>
          <w:tblLook w:val="04A0"/>
        </w:tblPrEx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87744" w:rsidRPr="00E331F0" w:rsidP="00087744">
            <w:pPr>
              <w:spacing w:after="160" w:line="259" w:lineRule="auto"/>
              <w:rPr>
                <w:rFonts w:ascii="Arial" w:hAnsi="Arial" w:cs="Arial"/>
                <w:b/>
                <w:lang w:val="cs-CZ"/>
              </w:rPr>
            </w:pPr>
            <w:r w:rsidRPr="00E331F0">
              <w:rPr>
                <w:rFonts w:ascii="Arial" w:hAnsi="Arial" w:cs="Arial"/>
                <w:b/>
                <w:lang w:val="cs-CZ"/>
              </w:rPr>
              <w:t>Celkové obsahy parametru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87744" w:rsidRPr="00E331F0" w:rsidP="00087744">
            <w:pPr>
              <w:spacing w:after="160" w:line="259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E331F0">
              <w:rPr>
                <w:rFonts w:ascii="Arial" w:hAnsi="Arial" w:cs="Arial"/>
                <w:b/>
                <w:lang w:val="cs-CZ"/>
              </w:rPr>
              <w:t>Jednotka</w:t>
            </w:r>
          </w:p>
        </w:tc>
        <w:tc>
          <w:tcPr>
            <w:tcW w:w="520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87744" w:rsidRPr="00E331F0" w:rsidP="00087744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E331F0">
              <w:rPr>
                <w:rFonts w:ascii="Arial" w:hAnsi="Arial" w:cs="Arial"/>
                <w:b/>
                <w:lang w:val="cs-CZ"/>
              </w:rPr>
              <w:t xml:space="preserve">Jakostní třída </w:t>
            </w:r>
          </w:p>
        </w:tc>
      </w:tr>
      <w:tr w:rsidTr="00087744">
        <w:tblPrEx>
          <w:tblW w:w="9032" w:type="dxa"/>
          <w:tblInd w:w="108" w:type="dxa"/>
          <w:tblLook w:val="04A0"/>
        </w:tblPrEx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744" w:rsidRPr="00E331F0" w:rsidP="00087744">
            <w:pPr>
              <w:spacing w:after="160" w:line="259" w:lineRule="auto"/>
              <w:rPr>
                <w:rFonts w:ascii="Arial" w:hAnsi="Arial" w:cs="Arial"/>
                <w:lang w:val="cs-C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744" w:rsidRPr="00E331F0" w:rsidP="00087744">
            <w:pPr>
              <w:spacing w:after="160" w:line="259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744" w:rsidRPr="00E331F0" w:rsidP="00087744">
            <w:pPr>
              <w:jc w:val="center"/>
              <w:rPr>
                <w:rFonts w:ascii="Arial" w:hAnsi="Arial" w:cs="Arial"/>
                <w:lang w:val="cs-CZ"/>
              </w:rPr>
            </w:pPr>
            <w:r w:rsidRPr="00E331F0">
              <w:rPr>
                <w:rFonts w:ascii="Arial" w:hAnsi="Arial" w:cs="Arial"/>
                <w:lang w:val="cs-CZ"/>
              </w:rPr>
              <w:t>ZAS-T1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744" w:rsidRPr="00E331F0" w:rsidP="00087744">
            <w:pPr>
              <w:jc w:val="center"/>
              <w:rPr>
                <w:rFonts w:ascii="Arial" w:hAnsi="Arial" w:cs="Arial"/>
                <w:lang w:val="cs-CZ"/>
              </w:rPr>
            </w:pPr>
            <w:r w:rsidRPr="00E331F0">
              <w:rPr>
                <w:rFonts w:ascii="Arial" w:hAnsi="Arial" w:cs="Arial"/>
                <w:lang w:val="cs-CZ"/>
              </w:rPr>
              <w:t>ZAS-T2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7744" w:rsidRPr="00E331F0" w:rsidP="00B7161C">
            <w:pPr>
              <w:jc w:val="center"/>
              <w:rPr>
                <w:rFonts w:ascii="Arial" w:hAnsi="Arial" w:cs="Arial"/>
                <w:lang w:val="cs-CZ"/>
              </w:rPr>
            </w:pPr>
            <w:r w:rsidRPr="00E331F0">
              <w:rPr>
                <w:rFonts w:ascii="Arial" w:hAnsi="Arial" w:cs="Arial"/>
                <w:lang w:val="cs-CZ"/>
              </w:rPr>
              <w:t>ZAS-T3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7744" w:rsidRPr="00E331F0" w:rsidP="00B7161C">
            <w:pPr>
              <w:jc w:val="center"/>
              <w:rPr>
                <w:rFonts w:ascii="Arial" w:hAnsi="Arial" w:cs="Arial"/>
                <w:lang w:val="cs-CZ"/>
              </w:rPr>
            </w:pPr>
            <w:r w:rsidRPr="00E331F0">
              <w:rPr>
                <w:rFonts w:ascii="Arial" w:hAnsi="Arial" w:cs="Arial"/>
                <w:lang w:val="cs-CZ"/>
              </w:rPr>
              <w:t>ZAS-T4</w:t>
            </w:r>
          </w:p>
        </w:tc>
      </w:tr>
      <w:tr w:rsidTr="00087744">
        <w:tblPrEx>
          <w:tblW w:w="9032" w:type="dxa"/>
          <w:tblInd w:w="108" w:type="dxa"/>
          <w:tblLook w:val="04A0"/>
        </w:tblPrEx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7744" w:rsidRPr="00E331F0" w:rsidP="00837953">
            <w:pPr>
              <w:spacing w:after="160" w:line="259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Celkové množství </w:t>
            </w:r>
            <w:r>
              <w:rPr>
                <w:rFonts w:ascii="Arial" w:hAnsi="Arial" w:cs="Arial"/>
                <w:lang w:val="cs-CZ"/>
              </w:rPr>
              <w:t>polyaromatických</w:t>
            </w:r>
            <w:r>
              <w:rPr>
                <w:rFonts w:ascii="Arial" w:hAnsi="Arial" w:cs="Arial"/>
                <w:lang w:val="cs-CZ"/>
              </w:rPr>
              <w:t xml:space="preserve"> uhlovodíků</w:t>
            </w:r>
            <w:r w:rsidR="00A73246">
              <w:rPr>
                <w:rFonts w:ascii="Arial" w:hAnsi="Arial" w:cs="Arial"/>
                <w:lang w:val="cs-CZ"/>
              </w:rPr>
              <w:t xml:space="preserve"> (PAU)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7744" w:rsidRPr="00E331F0" w:rsidP="00087744">
            <w:pPr>
              <w:spacing w:after="160" w:line="259" w:lineRule="auto"/>
              <w:jc w:val="center"/>
              <w:rPr>
                <w:rFonts w:ascii="Arial" w:hAnsi="Arial" w:cs="Arial"/>
                <w:lang w:val="cs-CZ"/>
              </w:rPr>
            </w:pPr>
            <w:r w:rsidRPr="00E331F0">
              <w:rPr>
                <w:rFonts w:ascii="Arial" w:hAnsi="Arial" w:cs="Arial"/>
                <w:lang w:val="cs-CZ"/>
              </w:rPr>
              <w:t>mg/kg suš.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7744" w:rsidRPr="00E331F0" w:rsidP="00087744">
            <w:pPr>
              <w:jc w:val="center"/>
              <w:rPr>
                <w:rFonts w:ascii="Arial" w:hAnsi="Arial" w:cs="Arial"/>
                <w:lang w:val="cs-CZ"/>
              </w:rPr>
            </w:pPr>
            <w:r w:rsidRPr="00E331F0">
              <w:rPr>
                <w:rStyle w:val="st"/>
                <w:lang w:val="cs-CZ"/>
              </w:rPr>
              <w:t>≤</w:t>
            </w:r>
            <w:r w:rsidRPr="00E331F0">
              <w:rPr>
                <w:rFonts w:ascii="Arial" w:hAnsi="Arial" w:cs="Arial"/>
                <w:lang w:val="cs-CZ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7744" w:rsidRPr="00E331F0" w:rsidP="00087744">
            <w:pPr>
              <w:jc w:val="center"/>
              <w:rPr>
                <w:rFonts w:ascii="Arial" w:hAnsi="Arial" w:cs="Arial"/>
                <w:lang w:val="cs-CZ"/>
              </w:rPr>
            </w:pPr>
            <w:r w:rsidRPr="00E331F0">
              <w:rPr>
                <w:rFonts w:ascii="Arial" w:hAnsi="Arial" w:cs="Arial"/>
                <w:lang w:val="cs-CZ"/>
              </w:rPr>
              <w:t>12&lt; x ≤25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7744" w:rsidRPr="00E331F0" w:rsidP="00087744">
            <w:pPr>
              <w:jc w:val="center"/>
              <w:rPr>
                <w:rFonts w:ascii="Arial" w:hAnsi="Arial" w:cs="Arial"/>
                <w:vertAlign w:val="superscript"/>
                <w:lang w:val="cs-CZ"/>
              </w:rPr>
            </w:pPr>
            <w:r w:rsidRPr="00E331F0">
              <w:rPr>
                <w:rFonts w:ascii="Arial" w:hAnsi="Arial" w:cs="Arial"/>
                <w:lang w:val="cs-CZ"/>
              </w:rPr>
              <w:t>25&lt;x≤300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744" w:rsidRPr="00E331F0" w:rsidP="00087744">
            <w:pPr>
              <w:jc w:val="center"/>
              <w:rPr>
                <w:rFonts w:ascii="Arial" w:hAnsi="Arial" w:cs="Arial"/>
                <w:vertAlign w:val="superscript"/>
                <w:lang w:val="cs-CZ"/>
              </w:rPr>
            </w:pPr>
            <w:r w:rsidRPr="00E331F0">
              <w:rPr>
                <w:rFonts w:ascii="Arial" w:hAnsi="Arial" w:cs="Arial"/>
                <w:lang w:val="cs-CZ"/>
              </w:rPr>
              <w:t>&gt;300</w:t>
            </w:r>
          </w:p>
        </w:tc>
      </w:tr>
    </w:tbl>
    <w:p w:rsidR="00087744" w:rsidRPr="00B7161C" w:rsidP="00B7161C">
      <w:pPr>
        <w:jc w:val="both"/>
        <w:rPr>
          <w:rFonts w:ascii="Arial" w:hAnsi="Arial" w:cs="Arial"/>
          <w:lang w:val="cs-CZ"/>
        </w:rPr>
      </w:pPr>
    </w:p>
    <w:p w:rsidR="00087744" w:rsidRPr="003B4813" w:rsidP="00087744">
      <w:pPr>
        <w:pStyle w:val="ListParagraph"/>
        <w:spacing w:before="120"/>
        <w:ind w:hanging="360"/>
        <w:jc w:val="both"/>
        <w:rPr>
          <w:rFonts w:cs="Arial"/>
          <w:i/>
          <w:color w:val="5B9BD5"/>
          <w:lang w:val="cs-CZ"/>
        </w:rPr>
      </w:pPr>
    </w:p>
    <w:p w:rsidR="00087744" w:rsidRPr="00E331F0" w:rsidP="00087744">
      <w:pPr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  <w:r w:rsidRPr="00E331F0">
        <w:rPr>
          <w:rFonts w:ascii="Arial" w:hAnsi="Arial" w:cs="Arial"/>
          <w:b/>
          <w:lang w:val="cs-CZ"/>
        </w:rPr>
        <w:t xml:space="preserve">Tabulka č. 2 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  <w:r w:rsidRPr="00C51651">
        <w:rPr>
          <w:rFonts w:ascii="Arial" w:hAnsi="Arial" w:cs="Arial"/>
          <w:lang w:val="cs-CZ"/>
        </w:rPr>
        <w:t xml:space="preserve"> </w:t>
      </w:r>
      <w:r w:rsidRPr="00E331F0">
        <w:rPr>
          <w:rFonts w:ascii="Arial" w:hAnsi="Arial" w:cs="Arial"/>
          <w:lang w:val="cs-CZ"/>
        </w:rPr>
        <w:t xml:space="preserve">Rozsah stanovovaných </w:t>
      </w:r>
      <w:r w:rsidR="0068688D">
        <w:rPr>
          <w:rFonts w:ascii="Arial" w:hAnsi="Arial" w:cs="Arial"/>
          <w:lang w:val="cs-CZ"/>
        </w:rPr>
        <w:t>polyaromatických</w:t>
      </w:r>
      <w:r w:rsidR="0068688D">
        <w:rPr>
          <w:rFonts w:ascii="Arial" w:hAnsi="Arial" w:cs="Arial"/>
          <w:lang w:val="cs-CZ"/>
        </w:rPr>
        <w:t xml:space="preserve"> uhlovodíků</w:t>
      </w:r>
      <w:r w:rsidRPr="00E331F0" w:rsidR="0068688D">
        <w:rPr>
          <w:rFonts w:ascii="Arial" w:hAnsi="Arial" w:cs="Arial"/>
          <w:lang w:val="cs-CZ"/>
        </w:rPr>
        <w:t xml:space="preserve"> </w:t>
      </w:r>
      <w:r w:rsidR="0068688D">
        <w:rPr>
          <w:rFonts w:ascii="Arial" w:hAnsi="Arial" w:cs="Arial"/>
          <w:lang w:val="cs-CZ"/>
        </w:rPr>
        <w:t>(</w:t>
      </w:r>
      <w:r w:rsidRPr="00E331F0">
        <w:rPr>
          <w:rFonts w:ascii="Arial" w:hAnsi="Arial" w:cs="Arial"/>
          <w:lang w:val="cs-CZ"/>
        </w:rPr>
        <w:t>PAU</w:t>
      </w:r>
      <w:r w:rsidR="0068688D">
        <w:rPr>
          <w:rFonts w:ascii="Arial" w:hAnsi="Arial" w:cs="Arial"/>
          <w:lang w:val="cs-CZ"/>
        </w:rPr>
        <w:t xml:space="preserve">) 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tbl>
      <w:tblPr>
        <w:tblW w:w="62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6"/>
        <w:gridCol w:w="1701"/>
      </w:tblGrid>
      <w:tr w:rsidTr="00087744">
        <w:tblPrEx>
          <w:tblW w:w="6237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43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b/>
                <w:color w:val="000000"/>
                <w:lang w:val="cs-CZ" w:eastAsia="cs-CZ"/>
              </w:rPr>
            </w:pPr>
            <w:r w:rsidRPr="007438A4">
              <w:rPr>
                <w:rFonts w:ascii="Arial" w:eastAsia="Times New Roman" w:hAnsi="Arial" w:cs="Arial"/>
                <w:b/>
                <w:color w:val="000000"/>
                <w:lang w:val="cs-CZ" w:eastAsia="cs-CZ"/>
              </w:rPr>
              <w:t>N</w:t>
            </w:r>
            <w:r w:rsidRPr="00E331F0">
              <w:rPr>
                <w:rFonts w:ascii="Arial" w:eastAsia="Times New Roman" w:hAnsi="Arial" w:cs="Arial"/>
                <w:b/>
                <w:color w:val="000000"/>
                <w:lang w:val="cs-CZ" w:eastAsia="cs-CZ"/>
              </w:rPr>
              <w:t>ázev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b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/>
                <w:color w:val="000000"/>
                <w:lang w:val="cs-CZ" w:eastAsia="cs-CZ"/>
              </w:rPr>
              <w:t>CAS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362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AE206B">
              <w:rPr>
                <w:rFonts w:ascii="Arial" w:eastAsia="Times New Roman" w:hAnsi="Arial" w:cs="Arial"/>
                <w:color w:val="000000"/>
                <w:lang w:val="cs-CZ" w:eastAsia="cs-CZ"/>
              </w:rPr>
              <w:t>N</w:t>
            </w: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aftalen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91-20-3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C51651" w:rsidP="00087744">
            <w:pPr>
              <w:rPr>
                <w:rFonts w:ascii="Arial" w:eastAsia="Times New Roman" w:hAnsi="Arial" w:cs="Arial"/>
                <w:color w:val="0000FF"/>
                <w:u w:val="single"/>
                <w:lang w:val="cs-CZ" w:eastAsia="cs-CZ"/>
              </w:rPr>
            </w:pPr>
            <w:r w:rsidRPr="007438A4">
              <w:rPr>
                <w:rFonts w:ascii="Arial" w:eastAsia="Times New Roman" w:hAnsi="Arial" w:cs="Arial"/>
                <w:color w:val="000000"/>
                <w:lang w:val="cs-CZ" w:eastAsia="cs-CZ"/>
              </w:rPr>
              <w:t>A</w:t>
            </w: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cenaftylen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208-96-8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438A4">
              <w:rPr>
                <w:rFonts w:ascii="Arial" w:eastAsia="Times New Roman" w:hAnsi="Arial" w:cs="Arial"/>
                <w:color w:val="000000"/>
                <w:lang w:val="cs-CZ" w:eastAsia="cs-CZ"/>
              </w:rPr>
              <w:t>A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cenaften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83-32-9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438A4">
              <w:rPr>
                <w:rFonts w:ascii="Arial" w:eastAsia="Times New Roman" w:hAnsi="Arial" w:cs="Arial"/>
                <w:color w:val="000000"/>
                <w:lang w:val="cs-CZ" w:eastAsia="cs-CZ"/>
              </w:rPr>
              <w:t>F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luoren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86-73-7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438A4">
              <w:rPr>
                <w:rFonts w:ascii="Arial" w:eastAsia="Times New Roman" w:hAnsi="Arial" w:cs="Arial"/>
                <w:color w:val="000000"/>
                <w:lang w:val="cs-CZ" w:eastAsia="cs-CZ"/>
              </w:rPr>
              <w:t>F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enanthren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85-1-8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438A4">
              <w:rPr>
                <w:rFonts w:ascii="Arial" w:eastAsia="Times New Roman" w:hAnsi="Arial" w:cs="Arial"/>
                <w:color w:val="000000"/>
                <w:lang w:val="cs-CZ" w:eastAsia="cs-CZ"/>
              </w:rPr>
              <w:t>A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nthracen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120-12-7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438A4">
              <w:rPr>
                <w:rFonts w:ascii="Arial" w:eastAsia="Times New Roman" w:hAnsi="Arial" w:cs="Arial"/>
                <w:color w:val="000000"/>
                <w:lang w:val="cs-CZ" w:eastAsia="cs-CZ"/>
              </w:rPr>
              <w:t>F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luoranthen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206-44-0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Pyren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129-00-0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lang w:val="cs-CZ" w:eastAsia="cs-CZ"/>
              </w:rPr>
              <w:t>B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enzo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(a)antracen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(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BaA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56-55-3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7438A4">
              <w:rPr>
                <w:rFonts w:ascii="Arial" w:eastAsia="Times New Roman" w:hAnsi="Arial" w:cs="Arial"/>
                <w:color w:val="000000"/>
                <w:lang w:val="cs-CZ" w:eastAsia="cs-CZ"/>
              </w:rPr>
              <w:t>C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hrysen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218-01-9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lang w:val="cs-CZ" w:eastAsia="cs-CZ"/>
              </w:rPr>
              <w:t>B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enzo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(b)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fluoranten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(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BpFA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205-99-2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lang w:val="cs-CZ" w:eastAsia="cs-CZ"/>
              </w:rPr>
              <w:t>B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enzo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(k)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fluoranten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207-08-9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lang w:val="cs-CZ" w:eastAsia="cs-CZ"/>
              </w:rPr>
              <w:t>B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enzo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(a)pyren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(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BaP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jc w:val="both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50-32-8 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lang w:val="cs-CZ" w:eastAsia="cs-CZ"/>
              </w:rPr>
              <w:t>I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ndeno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[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1,2,3-cd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]pyren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193-39-5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lang w:val="cs-CZ" w:eastAsia="cs-CZ"/>
              </w:rPr>
              <w:t>B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enzo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(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g,h,i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)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perylen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191-24-2</w:t>
            </w:r>
          </w:p>
        </w:tc>
      </w:tr>
      <w:tr w:rsidTr="00087744">
        <w:tblPrEx>
          <w:tblW w:w="6237" w:type="dxa"/>
          <w:tblInd w:w="137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44" w:rsidRPr="00E627C2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Dibenzo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(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a,h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)antracen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(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DBahA</w:t>
            </w:r>
            <w:r w:rsidRPr="00F134C8">
              <w:rPr>
                <w:rFonts w:ascii="Arial" w:eastAsia="Times New Roman" w:hAnsi="Arial" w:cs="Arial"/>
                <w:color w:val="000000"/>
                <w:lang w:val="cs-CZ" w:eastAsia="cs-C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744" w:rsidRPr="00E331F0" w:rsidP="00087744">
            <w:pPr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53-70-3</w:t>
            </w:r>
          </w:p>
        </w:tc>
      </w:tr>
    </w:tbl>
    <w:p w:rsidR="00087744" w:rsidP="000877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lang w:val="cs-CZ"/>
        </w:rPr>
      </w:pPr>
    </w:p>
    <w:p w:rsidR="00B7161C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Poznámka:</w:t>
      </w:r>
    </w:p>
    <w:p w:rsidR="00B7161C" w:rsidRPr="00E331F0" w:rsidP="00B7161C">
      <w:pPr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 xml:space="preserve">Pokud </w:t>
      </w:r>
      <w:r>
        <w:rPr>
          <w:rFonts w:ascii="Arial" w:hAnsi="Arial" w:cs="Arial"/>
          <w:lang w:val="cs-CZ"/>
        </w:rPr>
        <w:t xml:space="preserve">se </w:t>
      </w:r>
      <w:r w:rsidRPr="007B66B2">
        <w:rPr>
          <w:rFonts w:ascii="Arial" w:hAnsi="Arial" w:cs="Arial"/>
          <w:lang w:val="cs-CZ"/>
        </w:rPr>
        <w:t>odpadní znovuzískan</w:t>
      </w:r>
      <w:r>
        <w:rPr>
          <w:rFonts w:ascii="Arial" w:hAnsi="Arial" w:cs="Arial"/>
          <w:lang w:val="cs-CZ"/>
        </w:rPr>
        <w:t>á</w:t>
      </w:r>
      <w:r w:rsidRPr="007B66B2">
        <w:rPr>
          <w:rFonts w:ascii="Arial" w:hAnsi="Arial" w:cs="Arial"/>
          <w:lang w:val="cs-CZ"/>
        </w:rPr>
        <w:t xml:space="preserve"> asfaltov</w:t>
      </w:r>
      <w:r>
        <w:rPr>
          <w:rFonts w:ascii="Arial" w:hAnsi="Arial" w:cs="Arial"/>
          <w:lang w:val="cs-CZ"/>
        </w:rPr>
        <w:t>á</w:t>
      </w:r>
      <w:r w:rsidRPr="007B66B2">
        <w:rPr>
          <w:rFonts w:ascii="Arial" w:hAnsi="Arial" w:cs="Arial"/>
          <w:lang w:val="cs-CZ"/>
        </w:rPr>
        <w:t xml:space="preserve"> směs</w:t>
      </w:r>
      <w:r w:rsidRPr="00B7161C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s </w:t>
      </w:r>
      <w:r w:rsidRPr="00E331F0">
        <w:rPr>
          <w:rFonts w:ascii="Arial" w:hAnsi="Arial" w:cs="Arial"/>
          <w:lang w:val="cs-CZ"/>
        </w:rPr>
        <w:t>obsah</w:t>
      </w:r>
      <w:r>
        <w:rPr>
          <w:rFonts w:ascii="Arial" w:hAnsi="Arial" w:cs="Arial"/>
          <w:lang w:val="cs-CZ"/>
        </w:rPr>
        <w:t>em</w:t>
      </w:r>
      <w:r w:rsidRPr="00E331F0">
        <w:rPr>
          <w:rFonts w:ascii="Arial" w:hAnsi="Arial" w:cs="Arial"/>
          <w:lang w:val="cs-CZ"/>
        </w:rPr>
        <w:t xml:space="preserve"> </w:t>
      </w:r>
      <w:r w:rsidRPr="00E331F0">
        <w:rPr>
          <w:rFonts w:ascii="Arial" w:hAnsi="Arial" w:cs="Arial"/>
          <w:lang w:val="cs-CZ"/>
        </w:rPr>
        <w:t>benzo</w:t>
      </w:r>
      <w:r w:rsidRPr="00E331F0">
        <w:rPr>
          <w:rFonts w:ascii="Arial" w:hAnsi="Arial" w:cs="Arial"/>
          <w:lang w:val="cs-CZ"/>
        </w:rPr>
        <w:t>(a)pyrenu</w:t>
      </w:r>
      <w:r>
        <w:rPr>
          <w:rFonts w:ascii="Arial" w:hAnsi="Arial" w:cs="Arial"/>
          <w:lang w:val="cs-CZ"/>
        </w:rPr>
        <w:t xml:space="preserve"> </w:t>
      </w:r>
      <w:r w:rsidRPr="00E331F0" w:rsidR="00DA06F5">
        <w:rPr>
          <w:rFonts w:ascii="Arial" w:hAnsi="Arial" w:cs="Arial"/>
          <w:lang w:val="cs-CZ"/>
        </w:rPr>
        <w:t>≤</w:t>
      </w:r>
      <w:r w:rsidR="00DA06F5">
        <w:rPr>
          <w:rFonts w:ascii="Arial" w:hAnsi="Arial" w:cs="Arial"/>
          <w:lang w:val="cs-CZ"/>
        </w:rPr>
        <w:t> 50 </w:t>
      </w:r>
      <w:r w:rsidRPr="00E331F0">
        <w:rPr>
          <w:rFonts w:ascii="Arial" w:hAnsi="Arial" w:cs="Arial"/>
          <w:lang w:val="cs-CZ"/>
        </w:rPr>
        <w:t>mg.kg</w:t>
      </w:r>
      <w:r w:rsidRPr="00E331F0">
        <w:rPr>
          <w:rFonts w:ascii="Arial" w:hAnsi="Arial" w:cs="Arial"/>
          <w:vertAlign w:val="superscript"/>
          <w:lang w:val="cs-CZ"/>
        </w:rPr>
        <w:t>-1</w:t>
      </w:r>
      <w:r>
        <w:rPr>
          <w:rFonts w:ascii="Arial" w:hAnsi="Arial" w:cs="Arial"/>
          <w:lang w:val="cs-CZ"/>
        </w:rPr>
        <w:t xml:space="preserve"> nevyužije v souladu s ustanovením této vyhlášky, </w:t>
      </w:r>
      <w:r w:rsidRPr="00E331F0">
        <w:rPr>
          <w:rFonts w:ascii="Arial" w:hAnsi="Arial" w:cs="Arial"/>
          <w:lang w:val="cs-CZ"/>
        </w:rPr>
        <w:t>jedná se o nebezpečný odpad zařazený dle Katalogu odpadů jako 17 03 01*</w:t>
      </w:r>
      <w:r>
        <w:rPr>
          <w:rFonts w:ascii="Arial" w:hAnsi="Arial" w:cs="Arial"/>
          <w:lang w:val="cs-CZ"/>
        </w:rPr>
        <w:t xml:space="preserve"> Asfaltové směsi obsahující dehet</w:t>
      </w:r>
      <w:r w:rsidRPr="00E331F0">
        <w:rPr>
          <w:rFonts w:ascii="Arial" w:hAnsi="Arial" w:cs="Arial"/>
          <w:lang w:val="cs-CZ"/>
        </w:rPr>
        <w:t>.</w:t>
      </w:r>
    </w:p>
    <w:p w:rsidR="00087744" w:rsidP="00244B55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087744" w:rsidRPr="00082545" w:rsidP="000877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Příloha č. 2 k vyhlášce č. …</w:t>
      </w:r>
      <w:r w:rsidRPr="00082545">
        <w:rPr>
          <w:rFonts w:ascii="Arial" w:hAnsi="Arial" w:cs="Arial"/>
          <w:b/>
          <w:lang w:val="cs-CZ"/>
        </w:rPr>
        <w:t>/201</w:t>
      </w:r>
      <w:r w:rsidR="007062AD">
        <w:rPr>
          <w:rFonts w:ascii="Arial" w:hAnsi="Arial" w:cs="Arial"/>
          <w:b/>
          <w:lang w:val="cs-CZ"/>
        </w:rPr>
        <w:t>9</w:t>
      </w:r>
      <w:r w:rsidRPr="00082545">
        <w:rPr>
          <w:rFonts w:ascii="Arial" w:hAnsi="Arial" w:cs="Arial"/>
          <w:b/>
          <w:lang w:val="cs-CZ"/>
        </w:rPr>
        <w:t xml:space="preserve"> Sb.</w:t>
      </w:r>
    </w:p>
    <w:p w:rsidR="00087744" w:rsidRPr="00082545" w:rsidP="000877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cs-CZ"/>
        </w:rPr>
      </w:pPr>
    </w:p>
    <w:p w:rsidR="00087744" w:rsidRPr="007438A4" w:rsidP="007438A4">
      <w:pPr>
        <w:jc w:val="center"/>
        <w:rPr>
          <w:rFonts w:ascii="Arial" w:hAnsi="Arial" w:cs="Arial"/>
          <w:b/>
          <w:lang w:val="cs-CZ"/>
        </w:rPr>
      </w:pPr>
      <w:r w:rsidRPr="007438A4">
        <w:rPr>
          <w:rFonts w:ascii="Arial" w:hAnsi="Arial" w:cs="Arial"/>
          <w:b/>
          <w:lang w:val="cs-CZ"/>
        </w:rPr>
        <w:t>Minimální počty odebraných vzorků</w:t>
      </w:r>
    </w:p>
    <w:p w:rsidR="00D55276" w:rsidP="00087744">
      <w:pPr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</w:p>
    <w:p w:rsidR="00087744" w:rsidRPr="00E331F0" w:rsidP="00087744">
      <w:pPr>
        <w:autoSpaceDE w:val="0"/>
        <w:autoSpaceDN w:val="0"/>
        <w:adjustRightInd w:val="0"/>
        <w:rPr>
          <w:rFonts w:ascii="Arial" w:hAnsi="Arial" w:cs="Arial"/>
          <w:b/>
          <w:lang w:val="cs-CZ"/>
        </w:rPr>
      </w:pPr>
      <w:r w:rsidRPr="00E331F0">
        <w:rPr>
          <w:rFonts w:ascii="Arial" w:hAnsi="Arial" w:cs="Arial"/>
          <w:b/>
          <w:lang w:val="cs-CZ"/>
        </w:rPr>
        <w:t xml:space="preserve">Tabulka č. 1 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>Minimální počty vzorků ve vztahu k diagnostickým průzkumem posuzované, opravované či obnovované ploše stavby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686"/>
        <w:gridCol w:w="1149"/>
        <w:gridCol w:w="1992"/>
      </w:tblGrid>
      <w:tr w:rsidTr="00437B2D">
        <w:tblPrEx>
          <w:tblW w:w="0" w:type="auto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rPr>
          <w:trHeight w:val="69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/>
                <w:bCs/>
                <w:lang w:val="cs-CZ" w:eastAsia="cs-CZ"/>
              </w:rPr>
              <w:t>Typ vzorku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hAnsi="Arial" w:cs="Arial"/>
                <w:b/>
                <w:vertAlign w:val="superscript"/>
                <w:lang w:val="cs-CZ"/>
              </w:rPr>
            </w:pPr>
            <w:r w:rsidRPr="00E331F0">
              <w:rPr>
                <w:rFonts w:ascii="Arial" w:hAnsi="Arial" w:cs="Arial"/>
                <w:b/>
                <w:lang w:val="cs-CZ"/>
              </w:rPr>
              <w:t>Vztažná plocha</w:t>
            </w:r>
            <w:r w:rsidR="00A60B5B">
              <w:rPr>
                <w:rFonts w:ascii="Arial" w:hAnsi="Arial" w:cs="Arial"/>
                <w:b/>
                <w:vertAlign w:val="superscript"/>
                <w:lang w:val="cs-CZ"/>
              </w:rPr>
              <w:t>*</w:t>
            </w:r>
          </w:p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bCs/>
                <w:lang w:val="cs-CZ" w:eastAsia="cs-CZ"/>
              </w:rPr>
            </w:pPr>
            <w:r w:rsidRPr="00E331F0">
              <w:rPr>
                <w:rFonts w:ascii="Arial" w:hAnsi="Arial" w:cs="Arial"/>
                <w:b/>
                <w:lang w:val="cs-CZ"/>
              </w:rPr>
              <w:t>/</w:t>
            </w:r>
            <w:r w:rsidRPr="00E331F0">
              <w:rPr>
                <w:rFonts w:ascii="Arial" w:eastAsia="Times New Roman" w:hAnsi="Arial" w:cs="Arial"/>
                <w:b/>
                <w:bCs/>
                <w:lang w:val="cs-CZ" w:eastAsia="cs-CZ"/>
              </w:rPr>
              <w:t xml:space="preserve"> m</w:t>
            </w:r>
            <w:r w:rsidRPr="00E331F0">
              <w:rPr>
                <w:rFonts w:ascii="Arial" w:eastAsia="Times New Roman" w:hAnsi="Arial" w:cs="Arial"/>
                <w:b/>
                <w:bCs/>
                <w:vertAlign w:val="superscript"/>
                <w:lang w:val="cs-CZ" w:eastAsia="cs-CZ"/>
              </w:rPr>
              <w:t>2</w:t>
            </w:r>
            <w:r w:rsidRPr="00E331F0">
              <w:rPr>
                <w:rFonts w:ascii="Arial" w:eastAsia="Times New Roman" w:hAnsi="Arial" w:cs="Arial"/>
                <w:b/>
                <w:bCs/>
                <w:lang w:val="cs-CZ" w:eastAsia="cs-CZ"/>
              </w:rPr>
              <w:t>/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/>
                <w:bCs/>
                <w:lang w:val="cs-CZ" w:eastAsia="cs-CZ"/>
              </w:rPr>
              <w:t>Minimální počet vzorků</w:t>
            </w:r>
          </w:p>
        </w:tc>
      </w:tr>
      <w:tr w:rsidTr="00437B2D">
        <w:tblPrEx>
          <w:tblW w:w="0" w:type="auto"/>
          <w:tblInd w:w="108" w:type="dxa"/>
          <w:tblLook w:val="04A0"/>
        </w:tblPrEx>
        <w:tc>
          <w:tcPr>
            <w:tcW w:w="3686" w:type="dxa"/>
            <w:vAlign w:val="center"/>
          </w:tcPr>
          <w:p w:rsidR="00087744" w:rsidRPr="00E331F0" w:rsidP="00A60B5B">
            <w:pPr>
              <w:spacing w:after="160" w:line="288" w:lineRule="auto"/>
              <w:jc w:val="both"/>
              <w:rPr>
                <w:rFonts w:ascii="Arial" w:eastAsia="Times New Roman" w:hAnsi="Arial" w:cs="Arial"/>
                <w:b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Směsný vzorek</w:t>
            </w:r>
            <w:r w:rsidR="00A60B5B">
              <w:rPr>
                <w:rFonts w:ascii="Arial" w:eastAsia="Times New Roman" w:hAnsi="Arial" w:cs="Arial"/>
                <w:color w:val="000000"/>
                <w:vertAlign w:val="superscript"/>
                <w:lang w:val="cs-CZ" w:eastAsia="cs-CZ"/>
              </w:rPr>
              <w:t>**</w:t>
            </w: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</w:p>
        </w:tc>
        <w:tc>
          <w:tcPr>
            <w:tcW w:w="1149" w:type="dxa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Cs/>
                <w:lang w:val="cs-CZ" w:eastAsia="cs-CZ"/>
              </w:rPr>
              <w:t>20 000</w:t>
            </w:r>
          </w:p>
        </w:tc>
        <w:tc>
          <w:tcPr>
            <w:tcW w:w="1992" w:type="dxa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Cs/>
                <w:lang w:val="cs-CZ" w:eastAsia="cs-CZ"/>
              </w:rPr>
              <w:t>1</w:t>
            </w:r>
          </w:p>
        </w:tc>
      </w:tr>
      <w:tr w:rsidTr="00437B2D">
        <w:tblPrEx>
          <w:tblW w:w="0" w:type="auto"/>
          <w:tblInd w:w="108" w:type="dxa"/>
          <w:tblLook w:val="04A0"/>
        </w:tblPrEx>
        <w:tc>
          <w:tcPr>
            <w:tcW w:w="3686" w:type="dxa"/>
            <w:vAlign w:val="center"/>
          </w:tcPr>
          <w:p w:rsidR="00087744" w:rsidRPr="00E331F0" w:rsidP="00087744">
            <w:pPr>
              <w:spacing w:after="160" w:line="288" w:lineRule="auto"/>
              <w:jc w:val="both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Dílčí vzorek</w:t>
            </w:r>
          </w:p>
        </w:tc>
        <w:tc>
          <w:tcPr>
            <w:tcW w:w="1149" w:type="dxa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Cs/>
                <w:lang w:val="cs-CZ" w:eastAsia="cs-CZ"/>
              </w:rPr>
            </w:pPr>
            <w:r w:rsidRPr="00E331F0">
              <w:rPr>
                <w:rFonts w:ascii="Arial" w:hAnsi="Arial" w:cs="Arial"/>
                <w:lang w:val="cs-CZ"/>
              </w:rPr>
              <w:t xml:space="preserve">5 000 </w:t>
            </w:r>
          </w:p>
        </w:tc>
        <w:tc>
          <w:tcPr>
            <w:tcW w:w="1992" w:type="dxa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Cs/>
                <w:lang w:val="cs-CZ" w:eastAsia="cs-CZ"/>
              </w:rPr>
              <w:t>1</w:t>
            </w:r>
          </w:p>
        </w:tc>
      </w:tr>
    </w:tbl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vertAlign w:val="superscript"/>
          <w:lang w:val="cs-CZ"/>
        </w:rPr>
        <w:t>*</w:t>
      </w:r>
      <w:r w:rsidR="00AE27E4">
        <w:rPr>
          <w:rFonts w:ascii="Arial" w:hAnsi="Arial" w:cs="Arial"/>
          <w:vertAlign w:val="superscript"/>
          <w:lang w:val="cs-CZ"/>
        </w:rPr>
        <w:t xml:space="preserve"> </w:t>
      </w:r>
      <w:r w:rsidRPr="00E331F0">
        <w:rPr>
          <w:rFonts w:ascii="Arial" w:hAnsi="Arial" w:cs="Arial"/>
          <w:lang w:val="cs-CZ"/>
        </w:rPr>
        <w:t>Vztažná plocha je maximální plocha, kterou může reprezentovat jeden vzorek.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vertAlign w:val="superscript"/>
          <w:lang w:val="cs-CZ"/>
        </w:rPr>
        <w:t>**</w:t>
      </w:r>
      <w:r w:rsidRPr="00E331F0">
        <w:rPr>
          <w:rFonts w:ascii="Arial" w:hAnsi="Arial" w:cs="Arial"/>
          <w:lang w:val="cs-CZ"/>
        </w:rPr>
        <w:t>Směsný vzorek vznikne smíšením z dílčích vzorků, z tohoto vzorku je po homogenizaci a zmenšení kvartací odebírán laboratorní vzorek, přičemž dílčí vzorek může reprezentovat plochu nejvýše 5 000 m</w:t>
      </w:r>
      <w:r w:rsidRPr="00E331F0">
        <w:rPr>
          <w:rFonts w:ascii="Arial" w:hAnsi="Arial" w:cs="Arial"/>
          <w:vertAlign w:val="superscript"/>
          <w:lang w:val="cs-CZ"/>
        </w:rPr>
        <w:t>2</w:t>
      </w:r>
      <w:r w:rsidRPr="00E331F0">
        <w:rPr>
          <w:rFonts w:ascii="Arial" w:hAnsi="Arial" w:cs="Arial"/>
          <w:lang w:val="cs-CZ"/>
        </w:rPr>
        <w:t>.</w:t>
      </w:r>
      <w:r w:rsidRPr="00E331F0">
        <w:rPr>
          <w:rFonts w:ascii="Arial" w:hAnsi="Arial" w:cs="Arial"/>
          <w:b/>
          <w:lang w:val="cs-CZ"/>
        </w:rPr>
        <w:t xml:space="preserve"> 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jc w:val="both"/>
        <w:rPr>
          <w:rFonts w:ascii="Arial" w:hAnsi="Arial" w:cs="Arial"/>
          <w:b/>
          <w:lang w:val="cs-CZ"/>
        </w:rPr>
      </w:pPr>
      <w:r w:rsidRPr="00E331F0">
        <w:rPr>
          <w:rFonts w:ascii="Arial" w:hAnsi="Arial" w:cs="Arial"/>
          <w:b/>
          <w:lang w:val="cs-CZ"/>
        </w:rPr>
        <w:t>Tabulka č. 2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jc w:val="both"/>
        <w:rPr>
          <w:rFonts w:ascii="Arial" w:hAnsi="Arial" w:cs="Arial"/>
          <w:lang w:val="cs-CZ"/>
        </w:rPr>
      </w:pPr>
      <w:r w:rsidRPr="00E331F0">
        <w:rPr>
          <w:rFonts w:ascii="Arial" w:hAnsi="Arial" w:cs="Arial"/>
          <w:lang w:val="cs-CZ"/>
        </w:rPr>
        <w:t>Minimální počet odebraných vzorků z již vybourané znovuzískané asfaltové směsi</w:t>
      </w:r>
    </w:p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686"/>
        <w:gridCol w:w="1430"/>
        <w:gridCol w:w="1992"/>
      </w:tblGrid>
      <w:tr w:rsidTr="00437B2D">
        <w:tblPrEx>
          <w:tblW w:w="0" w:type="auto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rPr>
          <w:trHeight w:val="69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/>
                <w:bCs/>
                <w:lang w:val="cs-CZ" w:eastAsia="cs-CZ"/>
              </w:rPr>
              <w:t>Typ vzorku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bCs/>
                <w:lang w:val="cs-CZ" w:eastAsia="cs-CZ"/>
              </w:rPr>
            </w:pPr>
            <w:r w:rsidRPr="00E331F0">
              <w:rPr>
                <w:rFonts w:ascii="Arial" w:hAnsi="Arial" w:cs="Arial"/>
                <w:b/>
                <w:lang w:val="cs-CZ"/>
              </w:rPr>
              <w:t>Množství</w:t>
            </w:r>
            <w:r w:rsidR="00A60B5B">
              <w:rPr>
                <w:rFonts w:ascii="Arial" w:hAnsi="Arial" w:cs="Arial"/>
                <w:b/>
                <w:vertAlign w:val="superscript"/>
                <w:lang w:val="cs-CZ"/>
              </w:rPr>
              <w:t>***</w:t>
            </w:r>
            <w:r w:rsidRPr="00E331F0">
              <w:rPr>
                <w:rFonts w:ascii="Arial" w:hAnsi="Arial" w:cs="Arial"/>
                <w:b/>
                <w:lang w:val="cs-CZ"/>
              </w:rPr>
              <w:t xml:space="preserve"> /</w:t>
            </w:r>
            <w:r w:rsidRPr="00E331F0">
              <w:rPr>
                <w:rFonts w:ascii="Arial" w:eastAsia="Times New Roman" w:hAnsi="Arial" w:cs="Arial"/>
                <w:b/>
                <w:bCs/>
                <w:lang w:val="cs-CZ" w:eastAsia="cs-CZ"/>
              </w:rPr>
              <w:t xml:space="preserve"> t /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/>
                <w:bCs/>
                <w:lang w:val="cs-CZ" w:eastAsia="cs-CZ"/>
              </w:rPr>
              <w:t>Minimální počet vzorků</w:t>
            </w:r>
          </w:p>
        </w:tc>
      </w:tr>
      <w:tr w:rsidTr="00437B2D">
        <w:tblPrEx>
          <w:tblW w:w="0" w:type="auto"/>
          <w:tblInd w:w="108" w:type="dxa"/>
          <w:tblLook w:val="04A0"/>
        </w:tblPrEx>
        <w:tc>
          <w:tcPr>
            <w:tcW w:w="3686" w:type="dxa"/>
            <w:vAlign w:val="center"/>
          </w:tcPr>
          <w:p w:rsidR="00087744" w:rsidRPr="00E331F0" w:rsidP="00087744">
            <w:pPr>
              <w:spacing w:after="160" w:line="288" w:lineRule="auto"/>
              <w:jc w:val="both"/>
              <w:rPr>
                <w:rFonts w:ascii="Arial" w:eastAsia="Times New Roman" w:hAnsi="Arial" w:cs="Arial"/>
                <w:b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Směsný vzorek</w:t>
            </w:r>
            <w:r w:rsidR="00A60B5B">
              <w:rPr>
                <w:rFonts w:ascii="Arial" w:eastAsia="Times New Roman" w:hAnsi="Arial" w:cs="Arial"/>
                <w:color w:val="000000"/>
                <w:lang w:val="cs-CZ" w:eastAsia="cs-CZ"/>
              </w:rPr>
              <w:t>****</w:t>
            </w: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 xml:space="preserve"> </w:t>
            </w:r>
          </w:p>
        </w:tc>
        <w:tc>
          <w:tcPr>
            <w:tcW w:w="1149" w:type="dxa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Cs/>
                <w:lang w:val="cs-CZ" w:eastAsia="cs-CZ"/>
              </w:rPr>
              <w:t>20 000</w:t>
            </w:r>
          </w:p>
        </w:tc>
        <w:tc>
          <w:tcPr>
            <w:tcW w:w="1992" w:type="dxa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Cs/>
                <w:lang w:val="cs-CZ" w:eastAsia="cs-CZ"/>
              </w:rPr>
              <w:t>1</w:t>
            </w:r>
          </w:p>
        </w:tc>
      </w:tr>
      <w:tr w:rsidTr="00437B2D">
        <w:tblPrEx>
          <w:tblW w:w="0" w:type="auto"/>
          <w:tblInd w:w="108" w:type="dxa"/>
          <w:tblLook w:val="04A0"/>
        </w:tblPrEx>
        <w:tc>
          <w:tcPr>
            <w:tcW w:w="3686" w:type="dxa"/>
            <w:vAlign w:val="center"/>
          </w:tcPr>
          <w:p w:rsidR="00087744" w:rsidRPr="00E331F0" w:rsidP="00087744">
            <w:pPr>
              <w:spacing w:after="160" w:line="288" w:lineRule="auto"/>
              <w:jc w:val="both"/>
              <w:rPr>
                <w:rFonts w:ascii="Arial" w:eastAsia="Times New Roman" w:hAnsi="Arial" w:cs="Arial"/>
                <w:color w:val="000000"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color w:val="000000"/>
                <w:lang w:val="cs-CZ" w:eastAsia="cs-CZ"/>
              </w:rPr>
              <w:t>Dílčí vzorek</w:t>
            </w:r>
          </w:p>
        </w:tc>
        <w:tc>
          <w:tcPr>
            <w:tcW w:w="1149" w:type="dxa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Cs/>
                <w:lang w:val="cs-CZ" w:eastAsia="cs-CZ"/>
              </w:rPr>
              <w:t>3 000</w:t>
            </w:r>
          </w:p>
        </w:tc>
        <w:tc>
          <w:tcPr>
            <w:tcW w:w="1992" w:type="dxa"/>
          </w:tcPr>
          <w:p w:rsidR="00087744" w:rsidRPr="00E331F0" w:rsidP="00087744">
            <w:pPr>
              <w:spacing w:line="288" w:lineRule="auto"/>
              <w:jc w:val="center"/>
              <w:rPr>
                <w:rFonts w:ascii="Arial" w:eastAsia="Times New Roman" w:hAnsi="Arial" w:cs="Arial"/>
                <w:bCs/>
                <w:lang w:val="cs-CZ" w:eastAsia="cs-CZ"/>
              </w:rPr>
            </w:pPr>
            <w:r w:rsidRPr="00E331F0">
              <w:rPr>
                <w:rFonts w:ascii="Arial" w:eastAsia="Times New Roman" w:hAnsi="Arial" w:cs="Arial"/>
                <w:bCs/>
                <w:lang w:val="cs-CZ" w:eastAsia="cs-CZ"/>
              </w:rPr>
              <w:t>1</w:t>
            </w:r>
          </w:p>
        </w:tc>
      </w:tr>
    </w:tbl>
    <w:p w:rsidR="00087744" w:rsidRPr="00E331F0" w:rsidP="00087744">
      <w:pPr>
        <w:jc w:val="both"/>
        <w:rPr>
          <w:rFonts w:ascii="Arial" w:hAnsi="Arial" w:cs="Arial"/>
          <w:lang w:val="cs-CZ"/>
        </w:rPr>
      </w:pPr>
    </w:p>
    <w:p w:rsidR="00087744" w:rsidRPr="00E331F0" w:rsidP="00087744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vertAlign w:val="superscript"/>
          <w:lang w:val="cs-CZ"/>
        </w:rPr>
        <w:t>***</w:t>
      </w:r>
      <w:r w:rsidRPr="00E331F0">
        <w:rPr>
          <w:rFonts w:ascii="Arial" w:hAnsi="Arial" w:cs="Arial"/>
          <w:lang w:val="cs-CZ"/>
        </w:rPr>
        <w:t>Množství znovuzískané asfaltové směsi v tunách, které může reprezentovat jeden vzorek.</w:t>
      </w:r>
    </w:p>
    <w:p w:rsidR="00087744" w:rsidP="003406F4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vertAlign w:val="superscript"/>
          <w:lang w:val="cs-CZ"/>
        </w:rPr>
        <w:t>****</w:t>
      </w:r>
      <w:r w:rsidRPr="00E331F0">
        <w:rPr>
          <w:rFonts w:ascii="Arial" w:hAnsi="Arial" w:cs="Arial"/>
          <w:lang w:val="cs-CZ"/>
        </w:rPr>
        <w:t>Směsný vzorek vznikne smíšením z dílčích vzorků, z tohoto vzorku je po homogenizaci a zmenšení kvartací odebírán laboratorní vzorek, přičemž dílčí vzorek může reprezentovat nejvýš</w:t>
      </w:r>
      <w:r w:rsidR="00BD648D">
        <w:rPr>
          <w:rFonts w:ascii="Arial" w:hAnsi="Arial" w:cs="Arial"/>
          <w:lang w:val="cs-CZ"/>
        </w:rPr>
        <w:t>e</w:t>
      </w:r>
      <w:r w:rsidRPr="00E331F0">
        <w:rPr>
          <w:rFonts w:ascii="Arial" w:hAnsi="Arial" w:cs="Arial"/>
          <w:lang w:val="cs-CZ"/>
        </w:rPr>
        <w:t xml:space="preserve"> 3 000 t znovuzískané asfaltové směsi.</w:t>
      </w:r>
    </w:p>
    <w:sectPr w:rsidSect="0008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2101773"/>
      <w:docPartObj>
        <w:docPartGallery w:val="Page Numbers (Bottom of Page)"/>
        <w:docPartUnique/>
      </w:docPartObj>
    </w:sdtPr>
    <w:sdtContent>
      <w:p w:rsidR="00374F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5A7B" w:rsidR="006B5A7B">
          <w:rPr>
            <w:noProof/>
            <w:lang w:val="cs-CZ"/>
          </w:rPr>
          <w:t>8</w:t>
        </w:r>
        <w:r>
          <w:rPr>
            <w:noProof/>
            <w:lang w:val="cs-CZ"/>
          </w:rPr>
          <w:fldChar w:fldCharType="end"/>
        </w:r>
      </w:p>
    </w:sdtContent>
  </w:sdt>
  <w:p w:rsidR="00374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F5882" w:rsidP="00087744">
      <w:r>
        <w:separator/>
      </w:r>
    </w:p>
  </w:footnote>
  <w:footnote w:type="continuationSeparator" w:id="1">
    <w:p w:rsidR="000F5882" w:rsidP="00087744">
      <w:r>
        <w:continuationSeparator/>
      </w:r>
    </w:p>
  </w:footnote>
  <w:footnote w:id="2">
    <w:p w:rsidR="00374F7A" w:rsidRPr="00A31D58" w:rsidP="00244B55">
      <w:pPr>
        <w:pStyle w:val="FootnoteTex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A31D58">
        <w:rPr>
          <w:rStyle w:val="FootnoteReference"/>
          <w:rFonts w:ascii="Arial" w:hAnsi="Arial" w:cs="Arial"/>
        </w:rPr>
        <w:footnoteRef/>
      </w:r>
      <w:r w:rsidRPr="00A31D58">
        <w:rPr>
          <w:rFonts w:ascii="Arial" w:hAnsi="Arial" w:cs="Arial"/>
          <w:vertAlign w:val="superscript"/>
        </w:rPr>
        <w:t xml:space="preserve">) </w:t>
      </w:r>
      <w:r w:rsidRPr="00A31D58">
        <w:rPr>
          <w:rFonts w:ascii="Arial" w:hAnsi="Arial" w:cs="Arial"/>
          <w:vertAlign w:val="superscript"/>
        </w:rPr>
        <w:tab/>
      </w:r>
      <w:r w:rsidRPr="00A31D58">
        <w:rPr>
          <w:rFonts w:ascii="Arial" w:hAnsi="Arial" w:cs="Arial"/>
        </w:rPr>
        <w:t>Směrnice Evropského parlamentu a Rady 2008/98/ES ze dne 19. listopadu 2008 o odpadech a o zrušení některých směrnic.</w:t>
      </w:r>
    </w:p>
  </w:footnote>
  <w:footnote w:id="3">
    <w:p w:rsidR="00C3326B" w:rsidRPr="006D24E1">
      <w:pPr>
        <w:rPr>
          <w:sz w:val="20"/>
          <w:szCs w:val="20"/>
          <w:lang w:val="cs-CZ"/>
        </w:rPr>
      </w:pPr>
      <w:r w:rsidRPr="007207AD">
        <w:rPr>
          <w:rStyle w:val="FootnoteReference"/>
          <w:rFonts w:ascii="Arial" w:hAnsi="Arial" w:cs="Arial"/>
          <w:sz w:val="20"/>
          <w:szCs w:val="20"/>
        </w:rPr>
        <w:footnoteRef/>
      </w:r>
      <w:r w:rsidRPr="003B4813" w:rsidR="008007F2">
        <w:rPr>
          <w:rFonts w:ascii="Arial" w:hAnsi="Arial" w:cs="Arial"/>
          <w:sz w:val="20"/>
          <w:szCs w:val="20"/>
          <w:vertAlign w:val="superscript"/>
          <w:lang w:val="cs-CZ"/>
        </w:rPr>
        <w:t>)</w:t>
      </w:r>
      <w:r w:rsidRPr="003B4813">
        <w:rPr>
          <w:rFonts w:ascii="Arial" w:hAnsi="Arial" w:cs="Arial"/>
          <w:sz w:val="20"/>
          <w:szCs w:val="20"/>
          <w:lang w:val="cs-CZ"/>
        </w:rPr>
        <w:t xml:space="preserve"> § 30 zákona č. 254/2001 Sb., o vodách</w:t>
      </w:r>
      <w:r w:rsidRPr="003B4813" w:rsidR="00FC724F">
        <w:rPr>
          <w:rFonts w:ascii="Arial" w:hAnsi="Arial" w:cs="Arial"/>
          <w:sz w:val="20"/>
          <w:szCs w:val="20"/>
          <w:lang w:val="cs-CZ"/>
        </w:rPr>
        <w:t xml:space="preserve"> a o změně některých zákonů (vodní zákon), ve znění pozdějších předpisů</w:t>
      </w:r>
      <w:r w:rsidRPr="003B4813" w:rsidR="00A24D03">
        <w:rPr>
          <w:rFonts w:ascii="Arial" w:hAnsi="Arial" w:cs="Arial"/>
          <w:sz w:val="20"/>
          <w:szCs w:val="20"/>
          <w:lang w:val="cs-CZ"/>
        </w:rPr>
        <w:t>.</w:t>
      </w:r>
      <w:r w:rsidRPr="003B4813" w:rsidR="00A24D03">
        <w:rPr>
          <w:rFonts w:ascii="Arial" w:hAnsi="Arial" w:cs="Arial"/>
          <w:sz w:val="20"/>
          <w:szCs w:val="20"/>
          <w:lang w:val="cs-CZ"/>
        </w:rPr>
        <w:cr/>
      </w:r>
      <w:r w:rsidRPr="006D24E1">
        <w:rPr>
          <w:rFonts w:ascii="Arial" w:hAnsi="Arial" w:cs="Arial"/>
          <w:sz w:val="20"/>
          <w:szCs w:val="20"/>
          <w:lang w:val="cs-CZ"/>
        </w:rPr>
        <w:t>§ 21 a § 22 zákona č. 164/2001 Sb., o přírodních léčivých zdrojích, zdrojích přírodních minerálních vod, přírodních léčebných lázních a lázeňských místech a o změně některých souvisejících zákonů (lázeňský zákon)</w:t>
      </w:r>
      <w:r w:rsidRPr="006D24E1" w:rsidR="00A24D03">
        <w:rPr>
          <w:rFonts w:ascii="Arial" w:hAnsi="Arial" w:cs="Arial"/>
          <w:sz w:val="20"/>
          <w:szCs w:val="20"/>
          <w:lang w:val="cs-CZ"/>
        </w:rPr>
        <w:t>, ve znění pozdějších předpisů</w:t>
      </w:r>
      <w:r w:rsidR="00244B55">
        <w:rPr>
          <w:rFonts w:ascii="Arial" w:hAnsi="Arial" w:cs="Arial"/>
          <w:sz w:val="20"/>
          <w:szCs w:val="20"/>
          <w:lang w:val="cs-CZ"/>
        </w:rPr>
        <w:t>.</w:t>
      </w:r>
    </w:p>
  </w:footnote>
  <w:footnote w:id="4">
    <w:p w:rsidR="00C3326B">
      <w:r>
        <w:rPr>
          <w:rFonts w:ascii="Arial" w:hAnsi="Arial" w:cs="Arial"/>
          <w:sz w:val="20"/>
          <w:szCs w:val="20"/>
          <w:vertAlign w:val="superscript"/>
        </w:rPr>
        <w:t>3</w:t>
      </w:r>
      <w:r w:rsidR="008007F2">
        <w:rPr>
          <w:rFonts w:ascii="Arial" w:hAnsi="Arial" w:cs="Arial"/>
          <w:sz w:val="20"/>
          <w:szCs w:val="20"/>
          <w:vertAlign w:val="superscript"/>
        </w:rPr>
        <w:t>)</w:t>
      </w:r>
      <w:r w:rsidR="008007F2">
        <w:rPr>
          <w:rFonts w:ascii="Arial" w:hAnsi="Arial" w:cs="Arial"/>
          <w:sz w:val="20"/>
          <w:szCs w:val="20"/>
        </w:rPr>
        <w:t xml:space="preserve"> </w:t>
      </w:r>
      <w:r w:rsidRPr="00670478" w:rsidR="000973EB">
        <w:rPr>
          <w:rFonts w:ascii="Arial" w:hAnsi="Arial" w:cs="Arial"/>
          <w:sz w:val="20"/>
          <w:szCs w:val="20"/>
        </w:rPr>
        <w:t xml:space="preserve">§ 4a </w:t>
      </w:r>
      <w:r w:rsidRPr="00670478" w:rsidR="000973EB">
        <w:rPr>
          <w:rFonts w:ascii="Arial" w:hAnsi="Arial" w:cs="Arial"/>
          <w:sz w:val="20"/>
          <w:szCs w:val="20"/>
        </w:rPr>
        <w:t>zákona</w:t>
      </w:r>
      <w:r w:rsidRPr="00670478" w:rsidR="000973EB">
        <w:rPr>
          <w:rFonts w:ascii="Arial" w:hAnsi="Arial" w:cs="Arial"/>
          <w:sz w:val="20"/>
          <w:szCs w:val="20"/>
        </w:rPr>
        <w:t xml:space="preserve"> č. 22/1997 </w:t>
      </w:r>
      <w:r w:rsidRPr="00670478" w:rsidR="000973EB">
        <w:rPr>
          <w:rFonts w:ascii="Arial" w:hAnsi="Arial" w:cs="Arial"/>
          <w:sz w:val="20"/>
          <w:szCs w:val="20"/>
        </w:rPr>
        <w:t>Sb</w:t>
      </w:r>
      <w:r w:rsidRPr="00670478" w:rsidR="000973EB">
        <w:rPr>
          <w:rFonts w:ascii="Arial" w:hAnsi="Arial" w:cs="Arial"/>
          <w:sz w:val="20"/>
          <w:szCs w:val="20"/>
        </w:rPr>
        <w:t>.,</w:t>
      </w:r>
      <w:r w:rsidRPr="00670478" w:rsidR="000973EB">
        <w:rPr>
          <w:rFonts w:ascii="Arial" w:hAnsi="Arial" w:cs="Arial"/>
          <w:sz w:val="20"/>
          <w:szCs w:val="20"/>
        </w:rPr>
        <w:t xml:space="preserve"> o </w:t>
      </w:r>
      <w:r w:rsidRPr="00670478" w:rsidR="000973EB">
        <w:rPr>
          <w:rFonts w:ascii="Arial" w:hAnsi="Arial" w:cs="Arial"/>
          <w:sz w:val="20"/>
          <w:szCs w:val="20"/>
        </w:rPr>
        <w:t>technických</w:t>
      </w:r>
      <w:r w:rsidRPr="00670478" w:rsidR="000973EB">
        <w:rPr>
          <w:rFonts w:ascii="Arial" w:hAnsi="Arial" w:cs="Arial"/>
          <w:sz w:val="20"/>
          <w:szCs w:val="20"/>
        </w:rPr>
        <w:t xml:space="preserve"> </w:t>
      </w:r>
      <w:r w:rsidRPr="00670478" w:rsidR="000973EB">
        <w:rPr>
          <w:rFonts w:ascii="Arial" w:hAnsi="Arial" w:cs="Arial"/>
          <w:sz w:val="20"/>
          <w:szCs w:val="20"/>
        </w:rPr>
        <w:t>požadavcích</w:t>
      </w:r>
      <w:r w:rsidRPr="00670478" w:rsidR="000973EB">
        <w:rPr>
          <w:rFonts w:ascii="Arial" w:hAnsi="Arial" w:cs="Arial"/>
          <w:sz w:val="20"/>
          <w:szCs w:val="20"/>
        </w:rPr>
        <w:t xml:space="preserve"> na </w:t>
      </w:r>
      <w:r w:rsidRPr="00670478" w:rsidR="000973EB">
        <w:rPr>
          <w:rFonts w:ascii="Arial" w:hAnsi="Arial" w:cs="Arial"/>
          <w:sz w:val="20"/>
          <w:szCs w:val="20"/>
        </w:rPr>
        <w:t>výrobky</w:t>
      </w:r>
      <w:r w:rsidRPr="00670478" w:rsidR="000973EB">
        <w:rPr>
          <w:rFonts w:ascii="Arial" w:hAnsi="Arial" w:cs="Arial"/>
          <w:sz w:val="20"/>
          <w:szCs w:val="20"/>
        </w:rPr>
        <w:t xml:space="preserve"> a o </w:t>
      </w:r>
      <w:r w:rsidRPr="00670478" w:rsidR="000973EB">
        <w:rPr>
          <w:rFonts w:ascii="Arial" w:hAnsi="Arial" w:cs="Arial"/>
          <w:sz w:val="20"/>
          <w:szCs w:val="20"/>
        </w:rPr>
        <w:t>změně</w:t>
      </w:r>
      <w:r w:rsidRPr="00670478" w:rsidR="000973EB">
        <w:rPr>
          <w:rFonts w:ascii="Arial" w:hAnsi="Arial" w:cs="Arial"/>
          <w:sz w:val="20"/>
          <w:szCs w:val="20"/>
        </w:rPr>
        <w:t xml:space="preserve"> a </w:t>
      </w:r>
      <w:r w:rsidRPr="00670478" w:rsidR="000973EB">
        <w:rPr>
          <w:rFonts w:ascii="Arial" w:hAnsi="Arial" w:cs="Arial"/>
          <w:sz w:val="20"/>
          <w:szCs w:val="20"/>
        </w:rPr>
        <w:t>doplnění</w:t>
      </w:r>
      <w:r w:rsidRPr="00670478" w:rsidR="000973EB">
        <w:rPr>
          <w:rFonts w:ascii="Arial" w:hAnsi="Arial" w:cs="Arial"/>
          <w:sz w:val="20"/>
          <w:szCs w:val="20"/>
        </w:rPr>
        <w:t xml:space="preserve"> </w:t>
      </w:r>
      <w:r w:rsidRPr="00670478" w:rsidR="000973EB">
        <w:rPr>
          <w:rFonts w:ascii="Arial" w:hAnsi="Arial" w:cs="Arial"/>
          <w:sz w:val="20"/>
          <w:szCs w:val="20"/>
        </w:rPr>
        <w:t>některých</w:t>
      </w:r>
      <w:r w:rsidRPr="00670478" w:rsidR="000973EB">
        <w:rPr>
          <w:rFonts w:ascii="Arial" w:hAnsi="Arial" w:cs="Arial"/>
          <w:sz w:val="20"/>
          <w:szCs w:val="20"/>
        </w:rPr>
        <w:t xml:space="preserve"> </w:t>
      </w:r>
      <w:r w:rsidRPr="00670478" w:rsidR="000973EB">
        <w:rPr>
          <w:rFonts w:ascii="Arial" w:hAnsi="Arial" w:cs="Arial"/>
          <w:sz w:val="20"/>
          <w:szCs w:val="20"/>
        </w:rPr>
        <w:t>zákonů</w:t>
      </w:r>
      <w:r w:rsidRPr="00670478" w:rsidR="000973EB">
        <w:rPr>
          <w:rFonts w:ascii="Arial" w:hAnsi="Arial" w:cs="Arial"/>
          <w:sz w:val="20"/>
          <w:szCs w:val="20"/>
        </w:rPr>
        <w:t xml:space="preserve">, </w:t>
      </w:r>
      <w:r w:rsidRPr="00670478" w:rsidR="000973EB">
        <w:rPr>
          <w:rFonts w:ascii="Arial" w:hAnsi="Arial" w:cs="Arial"/>
          <w:sz w:val="20"/>
          <w:szCs w:val="20"/>
        </w:rPr>
        <w:t>ve</w:t>
      </w:r>
      <w:r w:rsidRPr="00670478" w:rsidR="000973EB">
        <w:rPr>
          <w:rFonts w:ascii="Arial" w:hAnsi="Arial" w:cs="Arial"/>
          <w:sz w:val="20"/>
          <w:szCs w:val="20"/>
        </w:rPr>
        <w:t xml:space="preserve"> </w:t>
      </w:r>
      <w:r w:rsidRPr="00670478" w:rsidR="000973EB">
        <w:rPr>
          <w:rFonts w:ascii="Arial" w:hAnsi="Arial" w:cs="Arial"/>
          <w:sz w:val="20"/>
          <w:szCs w:val="20"/>
        </w:rPr>
        <w:t>znění</w:t>
      </w:r>
      <w:r w:rsidRPr="00670478" w:rsidR="000973EB">
        <w:rPr>
          <w:rFonts w:ascii="Arial" w:hAnsi="Arial" w:cs="Arial"/>
          <w:sz w:val="20"/>
          <w:szCs w:val="20"/>
        </w:rPr>
        <w:t xml:space="preserve"> </w:t>
      </w:r>
      <w:r w:rsidRPr="00670478" w:rsidR="000973EB">
        <w:rPr>
          <w:rFonts w:ascii="Arial" w:hAnsi="Arial" w:cs="Arial"/>
          <w:sz w:val="20"/>
          <w:szCs w:val="20"/>
        </w:rPr>
        <w:t>pozdějších</w:t>
      </w:r>
      <w:r w:rsidRPr="00670478" w:rsidR="000973EB">
        <w:rPr>
          <w:rFonts w:ascii="Arial" w:hAnsi="Arial" w:cs="Arial"/>
          <w:sz w:val="20"/>
          <w:szCs w:val="20"/>
        </w:rPr>
        <w:t xml:space="preserve"> předpisů</w:t>
      </w:r>
      <w:r w:rsidRPr="00A24D03" w:rsidR="000973EB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F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13904" o:spid="_x0000_s2049" type="#_x0000_t136" style="width:519.25pt;height:119.8pt;margin-top:0;margin-left:0;mso-position-horizontal:center;mso-position-horizontal-relative:margin;mso-position-vertical:center;mso-position-vertical-relative:margin;position:absolute;rotation:315;z-index:-251657216" o:allowincell="f" fillcolor="silver" stroked="f">
          <v:fill opacity="0.5"/>
          <v:textpath style="font-family:Calibri;font-size:1pt" string="NÁVRH VYHLÁŠ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4F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13903" o:spid="_x0000_s2050" type="#_x0000_t136" style="width:519.25pt;height:119.8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Calibri;font-size:1pt" string="NÁVRH VYHLÁŠK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07D7A"/>
    <w:multiLevelType w:val="hybridMultilevel"/>
    <w:tmpl w:val="5FE06F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0779"/>
    <w:multiLevelType w:val="hybridMultilevel"/>
    <w:tmpl w:val="ACB8A01C"/>
    <w:lvl w:ilvl="0">
      <w:start w:val="2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6ADE0531"/>
    <w:multiLevelType w:val="hybridMultilevel"/>
    <w:tmpl w:val="2D54636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D7FB4"/>
    <w:multiLevelType w:val="hybridMultilevel"/>
    <w:tmpl w:val="3C9A5E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D53EF"/>
    <w:multiLevelType w:val="hybridMultilevel"/>
    <w:tmpl w:val="4CBC405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6A"/>
    <w:pPr>
      <w:ind w:left="720"/>
      <w:contextualSpacing/>
    </w:pPr>
  </w:style>
  <w:style w:type="table" w:styleId="TableGrid">
    <w:name w:val="Table Grid"/>
    <w:basedOn w:val="TableNormal"/>
    <w:uiPriority w:val="39"/>
    <w:rsid w:val="00DB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FF5676"/>
    <w:rPr>
      <w:vertAlign w:val="superscript"/>
    </w:rPr>
  </w:style>
  <w:style w:type="paragraph" w:styleId="FootnoteText">
    <w:name w:val="footnote text"/>
    <w:basedOn w:val="Normal"/>
    <w:link w:val="TextpoznpodarouChar"/>
    <w:semiHidden/>
    <w:rsid w:val="00FF567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DefaultParagraphFont"/>
    <w:link w:val="FootnoteText"/>
    <w:semiHidden/>
    <w:rsid w:val="00FF567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B36EA0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B36EA0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B3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B36EA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B36EA0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6E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B36EA0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3B656D"/>
  </w:style>
  <w:style w:type="paragraph" w:styleId="Revision">
    <w:name w:val="Revision"/>
    <w:hidden/>
    <w:uiPriority w:val="99"/>
    <w:semiHidden/>
    <w:rsid w:val="007F7223"/>
  </w:style>
  <w:style w:type="paragraph" w:styleId="Header">
    <w:name w:val="header"/>
    <w:basedOn w:val="Normal"/>
    <w:link w:val="ZhlavChar"/>
    <w:uiPriority w:val="99"/>
    <w:unhideWhenUsed/>
    <w:rsid w:val="00320A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320A5B"/>
  </w:style>
  <w:style w:type="paragraph" w:styleId="Footer">
    <w:name w:val="footer"/>
    <w:basedOn w:val="Normal"/>
    <w:link w:val="ZpatChar"/>
    <w:uiPriority w:val="99"/>
    <w:unhideWhenUsed/>
    <w:rsid w:val="00320A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320A5B"/>
  </w:style>
  <w:style w:type="character" w:styleId="Hyperlink">
    <w:name w:val="Hyperlink"/>
    <w:basedOn w:val="DefaultParagraphFont"/>
    <w:uiPriority w:val="99"/>
    <w:unhideWhenUsed/>
    <w:rsid w:val="001602AD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FA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41B1-D311-4249-BCEA-EFA30F21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1962</Words>
  <Characters>11576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a.s.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Pavla Bejčková</cp:lastModifiedBy>
  <cp:revision>12</cp:revision>
  <cp:lastPrinted>2018-09-27T11:51:00Z</cp:lastPrinted>
  <dcterms:created xsi:type="dcterms:W3CDTF">2018-10-10T14:20:00Z</dcterms:created>
  <dcterms:modified xsi:type="dcterms:W3CDTF">2018-10-24T07:32:00Z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MZP/2018/410/642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MZP/2018/410/295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18.10.2018</vt:lpwstr>
  </property>
  <property fmtid="{D5CDD505-2E9C-101B-9397-08002B2CF9AE}" pid="11" name="DisplayName_CJCol">
    <vt:lpwstr>MZP/2018/410/642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legislativní</vt:lpwstr>
  </property>
  <property fmtid="{D5CDD505-2E9C-101B-9397-08002B2CF9AE}" pid="14" name="DisplayName_UserPoriz_Pisemnost">
    <vt:lpwstr>Mgr. Pavla Bejčková, Ph.D.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ENV/2018/66261</vt:lpwstr>
  </property>
  <property fmtid="{D5CDD505-2E9C-101B-9397-08002B2CF9AE}" pid="17" name="Key_BarCode_Pisemnost">
    <vt:lpwstr>*B000206547*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Odkaz">
    <vt:lpwstr>ODKAZ</vt:lpwstr>
  </property>
  <property fmtid="{D5CDD505-2E9C-101B-9397-08002B2CF9AE}" pid="21" name="Password_PisemnostTypZpristupneniInformaciZOSZ_Pisemnost">
    <vt:lpwstr>ZOSZ_Password</vt:lpwstr>
  </property>
  <property fmtid="{D5CDD505-2E9C-101B-9397-08002B2CF9AE}" pid="22" name="PocetListuDokumentu_Pisemnost">
    <vt:lpwstr>1</vt:lpwstr>
  </property>
  <property fmtid="{D5CDD505-2E9C-101B-9397-08002B2CF9AE}" pid="23" name="PocetListu_Pisemnost">
    <vt:lpwstr>1</vt:lpwstr>
  </property>
  <property fmtid="{D5CDD505-2E9C-101B-9397-08002B2CF9AE}" pid="24" name="PocetPriloh_Pisemnost">
    <vt:lpwstr>0</vt:lpwstr>
  </property>
  <property fmtid="{D5CDD505-2E9C-101B-9397-08002B2CF9AE}" pid="25" name="Podpis">
    <vt:lpwstr/>
  </property>
  <property fmtid="{D5CDD505-2E9C-101B-9397-08002B2CF9AE}" pid="26" name="PostalAddress_Contact_SpisovyUzel_PoziceZodpo_Pisemnost">
    <vt:lpwstr>ADRESA SU...</vt:lpwstr>
  </property>
  <property fmtid="{D5CDD505-2E9C-101B-9397-08002B2CF9AE}" pid="27" name="RC">
    <vt:lpwstr/>
  </property>
  <property fmtid="{D5CDD505-2E9C-101B-9397-08002B2CF9AE}" pid="28" name="SkartacniZnakLhuta_PisemnostZnak">
    <vt:lpwstr>A/10</vt:lpwstr>
  </property>
  <property fmtid="{D5CDD505-2E9C-101B-9397-08002B2CF9AE}" pid="29" name="SmlouvaCislo">
    <vt:lpwstr>ČÍSLO SMLOUVY</vt:lpwstr>
  </property>
  <property fmtid="{D5CDD505-2E9C-101B-9397-08002B2CF9AE}" pid="30" name="SZ_Spis_Pisemnost">
    <vt:lpwstr>ZN/MZP/2018/410/47</vt:lpwstr>
  </property>
  <property fmtid="{D5CDD505-2E9C-101B-9397-08002B2CF9AE}" pid="31" name="TEST">
    <vt:lpwstr>testovací pole</vt:lpwstr>
  </property>
  <property fmtid="{D5CDD505-2E9C-101B-9397-08002B2CF9AE}" pid="32" name="TypPrilohy_Pisemnost">
    <vt:lpwstr>TYP PŘÍLOHY</vt:lpwstr>
  </property>
  <property fmtid="{D5CDD505-2E9C-101B-9397-08002B2CF9AE}" pid="33" name="UserName_PisemnostTypZpristupneniInformaciZOSZ_Pisemnost">
    <vt:lpwstr>ZOSZ_UserName</vt:lpwstr>
  </property>
  <property fmtid="{D5CDD505-2E9C-101B-9397-08002B2CF9AE}" pid="34" name="Vec_Pisemnost">
    <vt:lpwstr>MPŘ - Návrh vyhlášky, kterou se stanoví kritéria, při jejichž splnění je znovuzískaná asfaltová směs vedlejším produktem nebo přestává být odpadem, a kritéria, při jejichž splnění asfaltová směs vyrobená z odpadní znovuzískané asfaltové směsi přestává ...</vt:lpwstr>
  </property>
  <property fmtid="{D5CDD505-2E9C-101B-9397-08002B2CF9AE}" pid="35" name="Zkratka_SpisovyUzel_PoziceZodpo_Pisemnost">
    <vt:lpwstr>410</vt:lpwstr>
  </property>
</Properties>
</file>